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D149BB" w14:paraId="769E44C7" w14:textId="77777777" w:rsidTr="00B6553F">
        <w:trPr>
          <w:cantSplit/>
          <w:trHeight w:hRule="exact" w:val="851"/>
        </w:trPr>
        <w:tc>
          <w:tcPr>
            <w:tcW w:w="1276" w:type="dxa"/>
            <w:tcBorders>
              <w:bottom w:val="single" w:sz="4" w:space="0" w:color="auto"/>
            </w:tcBorders>
            <w:vAlign w:val="bottom"/>
          </w:tcPr>
          <w:p w14:paraId="16A06E11" w14:textId="77777777" w:rsidR="00B56E9C" w:rsidRPr="00D149BB" w:rsidRDefault="00B56E9C" w:rsidP="00B6553F">
            <w:pPr>
              <w:spacing w:after="80"/>
              <w:rPr>
                <w:sz w:val="22"/>
                <w:szCs w:val="22"/>
                <w:lang w:val="tr-TR"/>
              </w:rPr>
            </w:pPr>
          </w:p>
        </w:tc>
        <w:tc>
          <w:tcPr>
            <w:tcW w:w="2268" w:type="dxa"/>
            <w:tcBorders>
              <w:bottom w:val="single" w:sz="4" w:space="0" w:color="auto"/>
            </w:tcBorders>
            <w:vAlign w:val="bottom"/>
          </w:tcPr>
          <w:p w14:paraId="23AB3A99" w14:textId="77777777" w:rsidR="00B56E9C" w:rsidRPr="00D149BB" w:rsidRDefault="00B56E9C" w:rsidP="00B6553F">
            <w:pPr>
              <w:spacing w:after="80" w:line="300" w:lineRule="exact"/>
              <w:rPr>
                <w:b/>
                <w:sz w:val="22"/>
                <w:szCs w:val="22"/>
                <w:lang w:val="tr-TR"/>
              </w:rPr>
            </w:pPr>
            <w:r w:rsidRPr="00D149BB">
              <w:rPr>
                <w:sz w:val="22"/>
                <w:szCs w:val="22"/>
                <w:lang w:val="tr-TR"/>
              </w:rPr>
              <w:t>Birleşmiş Milletler</w:t>
            </w:r>
          </w:p>
        </w:tc>
        <w:tc>
          <w:tcPr>
            <w:tcW w:w="6095" w:type="dxa"/>
            <w:gridSpan w:val="2"/>
            <w:tcBorders>
              <w:bottom w:val="single" w:sz="4" w:space="0" w:color="auto"/>
            </w:tcBorders>
            <w:vAlign w:val="bottom"/>
          </w:tcPr>
          <w:p w14:paraId="7AF3D0CD" w14:textId="77777777" w:rsidR="00B56E9C" w:rsidRPr="00D149BB" w:rsidRDefault="00032EC7" w:rsidP="00A17ECB">
            <w:pPr>
              <w:jc w:val="right"/>
              <w:rPr>
                <w:sz w:val="22"/>
                <w:szCs w:val="22"/>
                <w:lang w:val="tr-TR"/>
              </w:rPr>
            </w:pPr>
            <w:r w:rsidRPr="00D149BB">
              <w:rPr>
                <w:sz w:val="40"/>
                <w:szCs w:val="40"/>
                <w:lang w:val="tr-TR"/>
              </w:rPr>
              <w:t xml:space="preserve">CCPR </w:t>
            </w:r>
            <w:r w:rsidRPr="00D149BB">
              <w:rPr>
                <w:sz w:val="22"/>
                <w:szCs w:val="22"/>
                <w:lang w:val="tr-TR"/>
              </w:rPr>
              <w:t xml:space="preserve">/ </w:t>
            </w:r>
            <w:r w:rsidRPr="00D149BB">
              <w:rPr>
                <w:lang w:val="tr-TR"/>
              </w:rPr>
              <w:t>C/TUR/CO/1</w:t>
            </w:r>
          </w:p>
        </w:tc>
      </w:tr>
      <w:tr w:rsidR="00B56E9C" w:rsidRPr="00D149BB" w14:paraId="7D2569A7" w14:textId="77777777" w:rsidTr="00B6553F">
        <w:trPr>
          <w:cantSplit/>
          <w:trHeight w:hRule="exact" w:val="2835"/>
        </w:trPr>
        <w:tc>
          <w:tcPr>
            <w:tcW w:w="1276" w:type="dxa"/>
            <w:tcBorders>
              <w:top w:val="single" w:sz="4" w:space="0" w:color="auto"/>
              <w:bottom w:val="single" w:sz="12" w:space="0" w:color="auto"/>
            </w:tcBorders>
          </w:tcPr>
          <w:p w14:paraId="30C16D52" w14:textId="77777777" w:rsidR="00B56E9C" w:rsidRPr="00D149BB" w:rsidRDefault="00D149BB" w:rsidP="00B6553F">
            <w:pPr>
              <w:spacing w:before="120"/>
              <w:rPr>
                <w:sz w:val="22"/>
                <w:szCs w:val="22"/>
                <w:lang w:val="tr-TR"/>
              </w:rPr>
            </w:pPr>
            <w:r w:rsidRPr="00D149BB">
              <w:rPr>
                <w:sz w:val="22"/>
                <w:szCs w:val="22"/>
                <w:lang w:val="tr-TR"/>
              </w:rPr>
              <w:drawing>
                <wp:inline distT="0" distB="0" distL="0" distR="0" wp14:anchorId="6A6566CE" wp14:editId="4F25DB81">
                  <wp:extent cx="714375" cy="5873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58737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8BB357" w14:textId="77777777" w:rsidR="00B56E9C" w:rsidRPr="00D149BB" w:rsidRDefault="0042384F" w:rsidP="00267F5F">
            <w:pPr>
              <w:spacing w:before="120" w:line="380" w:lineRule="exact"/>
              <w:rPr>
                <w:sz w:val="22"/>
                <w:szCs w:val="22"/>
                <w:lang w:val="tr-TR"/>
              </w:rPr>
            </w:pPr>
            <w:r w:rsidRPr="00D149BB">
              <w:rPr>
                <w:b/>
                <w:sz w:val="34"/>
                <w:szCs w:val="40"/>
                <w:lang w:val="tr-TR"/>
              </w:rPr>
              <w:t>Medeni Haklar ve Siyasi Haklar Uluslararası Sözleşmesi</w:t>
            </w:r>
            <w:r w:rsidRPr="00D149BB">
              <w:rPr>
                <w:b/>
                <w:sz w:val="34"/>
                <w:szCs w:val="40"/>
                <w:lang w:val="tr-TR"/>
              </w:rPr>
              <w:br/>
            </w:r>
          </w:p>
        </w:tc>
        <w:tc>
          <w:tcPr>
            <w:tcW w:w="2835" w:type="dxa"/>
            <w:tcBorders>
              <w:top w:val="single" w:sz="4" w:space="0" w:color="auto"/>
              <w:bottom w:val="single" w:sz="12" w:space="0" w:color="auto"/>
            </w:tcBorders>
          </w:tcPr>
          <w:p w14:paraId="156BCE33" w14:textId="77777777" w:rsidR="00B56E9C" w:rsidRPr="00D149BB" w:rsidRDefault="00032EC7" w:rsidP="00032EC7">
            <w:pPr>
              <w:spacing w:before="240" w:line="240" w:lineRule="exact"/>
              <w:rPr>
                <w:lang w:val="tr-TR"/>
              </w:rPr>
            </w:pPr>
            <w:r w:rsidRPr="00D149BB">
              <w:rPr>
                <w:lang w:val="tr-TR"/>
              </w:rPr>
              <w:t>Dağıtım: Genel</w:t>
            </w:r>
          </w:p>
          <w:p w14:paraId="63D239D7" w14:textId="77777777" w:rsidR="00032EC7" w:rsidRPr="00D149BB" w:rsidRDefault="005C46F6" w:rsidP="0042384F">
            <w:pPr>
              <w:spacing w:line="240" w:lineRule="exact"/>
              <w:rPr>
                <w:lang w:val="tr-TR"/>
              </w:rPr>
            </w:pPr>
            <w:r w:rsidRPr="00D149BB">
              <w:rPr>
                <w:lang w:val="tr-TR"/>
              </w:rPr>
              <w:t>13 Kasım 2012</w:t>
            </w:r>
          </w:p>
          <w:p w14:paraId="1301D99B" w14:textId="77777777" w:rsidR="00032EC7" w:rsidRPr="00D149BB" w:rsidRDefault="00032EC7" w:rsidP="00032EC7">
            <w:pPr>
              <w:spacing w:line="240" w:lineRule="exact"/>
              <w:rPr>
                <w:lang w:val="tr-TR"/>
              </w:rPr>
            </w:pPr>
          </w:p>
          <w:p w14:paraId="4905C362" w14:textId="77777777" w:rsidR="00032EC7" w:rsidRPr="00D149BB" w:rsidRDefault="00032EC7" w:rsidP="00032EC7">
            <w:pPr>
              <w:spacing w:line="240" w:lineRule="exact"/>
              <w:rPr>
                <w:sz w:val="22"/>
                <w:szCs w:val="22"/>
                <w:lang w:val="tr-TR"/>
              </w:rPr>
            </w:pPr>
            <w:r w:rsidRPr="00D149BB">
              <w:rPr>
                <w:lang w:val="tr-TR"/>
              </w:rPr>
              <w:t>Orijinal: İngilizce</w:t>
            </w:r>
          </w:p>
        </w:tc>
      </w:tr>
    </w:tbl>
    <w:p w14:paraId="1F5330D1" w14:textId="77777777" w:rsidR="006D1AEC" w:rsidRPr="00D149BB" w:rsidRDefault="006D1AEC" w:rsidP="006D1AEC">
      <w:pPr>
        <w:autoSpaceDE w:val="0"/>
        <w:autoSpaceDN w:val="0"/>
        <w:adjustRightInd w:val="0"/>
        <w:rPr>
          <w:b/>
          <w:bCs/>
          <w:sz w:val="22"/>
          <w:szCs w:val="22"/>
          <w:lang w:val="tr-TR"/>
        </w:rPr>
      </w:pPr>
      <w:r w:rsidRPr="00D149BB">
        <w:rPr>
          <w:b/>
          <w:bCs/>
          <w:sz w:val="22"/>
          <w:szCs w:val="22"/>
          <w:lang w:val="tr-TR"/>
        </w:rPr>
        <w:t>İnsan Hakları Komitesi</w:t>
      </w:r>
    </w:p>
    <w:p w14:paraId="55849339" w14:textId="2DD18586" w:rsidR="00E4109B" w:rsidRPr="00D149BB" w:rsidRDefault="006D1AEC" w:rsidP="00915CFD">
      <w:pPr>
        <w:pStyle w:val="HChG"/>
        <w:tabs>
          <w:tab w:val="left" w:pos="8441"/>
        </w:tabs>
        <w:rPr>
          <w:bCs/>
          <w:lang w:val="tr-TR"/>
        </w:rPr>
      </w:pPr>
      <w:r w:rsidRPr="00D149BB">
        <w:rPr>
          <w:sz w:val="22"/>
          <w:szCs w:val="22"/>
          <w:lang w:val="tr-TR"/>
        </w:rPr>
        <w:tab/>
      </w:r>
      <w:r w:rsidRPr="00D149BB">
        <w:rPr>
          <w:sz w:val="22"/>
          <w:szCs w:val="22"/>
          <w:lang w:val="tr-TR"/>
        </w:rPr>
        <w:tab/>
      </w:r>
      <w:r w:rsidRPr="00D149BB">
        <w:rPr>
          <w:bCs/>
          <w:lang w:val="tr-TR"/>
        </w:rPr>
        <w:t>İlk rapora ilişkin sonuç gözlemleri</w:t>
      </w:r>
      <w:r w:rsidR="00D149BB" w:rsidRPr="00D149BB">
        <w:rPr>
          <w:bCs/>
          <w:lang w:val="tr-TR"/>
        </w:rPr>
        <w:t xml:space="preserve"> </w:t>
      </w:r>
      <w:r w:rsidRPr="00D149BB">
        <w:rPr>
          <w:bCs/>
          <w:lang w:val="tr-TR"/>
        </w:rPr>
        <w:t>T</w:t>
      </w:r>
      <w:r w:rsidR="00D149BB" w:rsidRPr="00D149BB">
        <w:rPr>
          <w:bCs/>
          <w:lang w:val="tr-TR"/>
        </w:rPr>
        <w:t>ü</w:t>
      </w:r>
      <w:r w:rsidRPr="00D149BB">
        <w:rPr>
          <w:bCs/>
          <w:lang w:val="tr-TR"/>
        </w:rPr>
        <w:t>rk</w:t>
      </w:r>
      <w:r w:rsidR="00D149BB" w:rsidRPr="00D149BB">
        <w:rPr>
          <w:bCs/>
          <w:lang w:val="tr-TR"/>
        </w:rPr>
        <w:t>i</w:t>
      </w:r>
      <w:r w:rsidRPr="00D149BB">
        <w:rPr>
          <w:bCs/>
          <w:lang w:val="tr-TR"/>
        </w:rPr>
        <w:t>y</w:t>
      </w:r>
      <w:r w:rsidR="00D149BB" w:rsidRPr="00D149BB">
        <w:rPr>
          <w:bCs/>
          <w:lang w:val="tr-TR"/>
        </w:rPr>
        <w:t>e</w:t>
      </w:r>
      <w:r w:rsidR="00A17ECB" w:rsidRPr="00D149BB">
        <w:rPr>
          <w:sz w:val="22"/>
          <w:szCs w:val="22"/>
          <w:lang w:val="tr-TR"/>
        </w:rPr>
        <w:t xml:space="preserve"> </w:t>
      </w:r>
      <w:r w:rsidR="00E4109B" w:rsidRPr="00D149BB">
        <w:rPr>
          <w:bCs/>
          <w:lang w:val="tr-TR"/>
        </w:rPr>
        <w:t xml:space="preserve">Komite tarafından 106. oturumda </w:t>
      </w:r>
      <w:r w:rsidR="00E4109B" w:rsidRPr="00D149BB">
        <w:rPr>
          <w:rFonts w:ascii="Times New Roman Bold" w:hAnsi="Times New Roman Bold"/>
          <w:bCs/>
          <w:lang w:val="tr-TR"/>
        </w:rPr>
        <w:t xml:space="preserve">( </w:t>
      </w:r>
      <w:r w:rsidR="00E4109B" w:rsidRPr="00D149BB">
        <w:rPr>
          <w:bCs/>
          <w:lang w:val="tr-TR"/>
        </w:rPr>
        <w:t>15 Ekim - 2 Kasım 2012) kabul edilmiştir.</w:t>
      </w:r>
    </w:p>
    <w:p w14:paraId="5A10CE9E" w14:textId="77777777" w:rsidR="00334889" w:rsidRPr="00D149BB" w:rsidRDefault="00334889" w:rsidP="0095343F">
      <w:pPr>
        <w:pStyle w:val="SingleTxtG"/>
        <w:rPr>
          <w:lang w:val="tr-TR"/>
        </w:rPr>
      </w:pPr>
      <w:r w:rsidRPr="00D149BB">
        <w:rPr>
          <w:lang w:val="tr-TR"/>
        </w:rPr>
        <w:t xml:space="preserve">1. </w:t>
      </w:r>
      <w:r w:rsidR="005C46F6" w:rsidRPr="00D149BB">
        <w:rPr>
          <w:lang w:val="tr-TR"/>
        </w:rPr>
        <w:tab/>
      </w:r>
      <w:r w:rsidRPr="00D149BB">
        <w:rPr>
          <w:lang w:val="tr-TR"/>
        </w:rPr>
        <w:t>İnsan Hakları Komitesi, (CCPR/C/TUR/1)'in ilk periyodik raporunu Turkey17 ve 18 Ekim 2012 tarihlerinde yapılan 2927., 2928. ve 2929. toplantılarında (CCPR/C/SR/2927, 2928 ve 2929) değerlendirdi. 30 Ekim 2012 tarihinde yapılan 2944. toplantısında (CCPR/C/SR/2944) aşağıdaki sonuç gözlemlerini kabul etmiştir.</w:t>
      </w:r>
    </w:p>
    <w:p w14:paraId="51D3663A" w14:textId="77777777" w:rsidR="00334889" w:rsidRPr="00D149BB" w:rsidRDefault="00334889" w:rsidP="00334889">
      <w:pPr>
        <w:pStyle w:val="H23G"/>
        <w:rPr>
          <w:lang w:val="tr-TR"/>
        </w:rPr>
      </w:pPr>
      <w:r w:rsidRPr="00D149BB">
        <w:rPr>
          <w:lang w:val="tr-TR"/>
        </w:rPr>
        <w:tab/>
        <w:t>A.Giriş</w:t>
      </w:r>
    </w:p>
    <w:p w14:paraId="3605AF50" w14:textId="01574977" w:rsidR="00334889" w:rsidRPr="00D149BB" w:rsidRDefault="00334889" w:rsidP="00334889">
      <w:pPr>
        <w:pStyle w:val="SingleTxtG"/>
        <w:rPr>
          <w:lang w:val="tr-TR"/>
        </w:rPr>
      </w:pPr>
      <w:r w:rsidRPr="00D149BB">
        <w:rPr>
          <w:lang w:val="tr-TR"/>
        </w:rPr>
        <w:t xml:space="preserve">2. </w:t>
      </w:r>
      <w:r w:rsidRPr="00D149BB">
        <w:rPr>
          <w:lang w:val="tr-TR"/>
        </w:rPr>
        <w:tab/>
        <w:t xml:space="preserve">Komite, </w:t>
      </w:r>
      <w:r w:rsidR="00D149BB" w:rsidRPr="00D149BB">
        <w:rPr>
          <w:lang w:val="tr-TR"/>
        </w:rPr>
        <w:t>Türkiye</w:t>
      </w:r>
      <w:r w:rsidR="00D149BB">
        <w:rPr>
          <w:lang w:val="tr-TR"/>
        </w:rPr>
        <w:t>’nin</w:t>
      </w:r>
      <w:r w:rsidR="00D149BB" w:rsidRPr="00D149BB">
        <w:rPr>
          <w:lang w:val="tr-TR"/>
        </w:rPr>
        <w:t xml:space="preserve"> </w:t>
      </w:r>
      <w:r w:rsidRPr="00D149BB">
        <w:rPr>
          <w:lang w:val="tr-TR"/>
        </w:rPr>
        <w:t>ilk raporun</w:t>
      </w:r>
      <w:r w:rsidR="00D149BB">
        <w:rPr>
          <w:lang w:val="tr-TR"/>
        </w:rPr>
        <w:t>un,</w:t>
      </w:r>
      <w:r w:rsidRPr="00D149BB">
        <w:rPr>
          <w:lang w:val="tr-TR"/>
        </w:rPr>
        <w:t xml:space="preserve"> burada sunulan bilgilerin sunulmasını memnuniyetle karşılamakla birlikte, raporun geç sunulmasından üzüntü duymaktadır. Komite, heyet tarafından verilen sözlü yanıtlarla desteklenen konuların listesine verdiği yazılı yanıtlar (CCPR/TUR/Q/1/Add.1) ve kendisine aşağıdaki ek bilgilerde sunulan ek bilgiler nedeniyle Taraf Devlete minnettardır. yazı.</w:t>
      </w:r>
    </w:p>
    <w:p w14:paraId="13236DA7" w14:textId="77777777" w:rsidR="00334889" w:rsidRPr="00D149BB" w:rsidRDefault="00334889" w:rsidP="00334889">
      <w:pPr>
        <w:pStyle w:val="H23G"/>
        <w:rPr>
          <w:lang w:val="tr-TR"/>
        </w:rPr>
      </w:pPr>
      <w:r w:rsidRPr="00D149BB">
        <w:rPr>
          <w:lang w:val="tr-TR"/>
        </w:rPr>
        <w:tab/>
        <w:t>B.Olumlu yönler</w:t>
      </w:r>
    </w:p>
    <w:p w14:paraId="51324E1F" w14:textId="77777777" w:rsidR="00334889" w:rsidRPr="00D149BB" w:rsidRDefault="00334889" w:rsidP="00334889">
      <w:pPr>
        <w:pStyle w:val="SingleTxtG"/>
        <w:rPr>
          <w:lang w:val="tr-TR"/>
        </w:rPr>
      </w:pPr>
      <w:r w:rsidRPr="00D149BB">
        <w:rPr>
          <w:lang w:val="tr-TR"/>
        </w:rPr>
        <w:t xml:space="preserve">3. </w:t>
      </w:r>
      <w:r w:rsidRPr="00D149BB">
        <w:rPr>
          <w:lang w:val="tr-TR"/>
        </w:rPr>
        <w:tab/>
        <w:t>Komite, Taraf Devlet tarafından atılan aşağıdaki yasal ve kurumsal adımları memnuniyetle karşılamaktadır:</w:t>
      </w:r>
    </w:p>
    <w:p w14:paraId="11EBECC8" w14:textId="77777777" w:rsidR="00334889" w:rsidRPr="00D149BB" w:rsidRDefault="00334889" w:rsidP="00334889">
      <w:pPr>
        <w:pStyle w:val="SingleTxtG"/>
        <w:ind w:firstLine="567"/>
        <w:rPr>
          <w:lang w:val="tr-TR"/>
        </w:rPr>
      </w:pPr>
      <w:r w:rsidRPr="00D149BB">
        <w:rPr>
          <w:lang w:val="tr-TR"/>
        </w:rPr>
        <w:t xml:space="preserve">(a) </w:t>
      </w:r>
      <w:r w:rsidRPr="00D149BB">
        <w:rPr>
          <w:lang w:val="tr-TR"/>
        </w:rPr>
        <w:tab/>
        <w:t>2010 Anayasa reformu;</w:t>
      </w:r>
    </w:p>
    <w:p w14:paraId="22E76F41" w14:textId="77777777" w:rsidR="00334889" w:rsidRPr="00D149BB" w:rsidRDefault="00334889" w:rsidP="00334889">
      <w:pPr>
        <w:pStyle w:val="SingleTxtG"/>
        <w:ind w:firstLine="567"/>
        <w:rPr>
          <w:lang w:val="tr-TR"/>
        </w:rPr>
      </w:pPr>
      <w:r w:rsidRPr="00D149BB">
        <w:rPr>
          <w:lang w:val="tr-TR"/>
        </w:rPr>
        <w:t xml:space="preserve">(b) </w:t>
      </w:r>
      <w:r w:rsidRPr="00D149BB">
        <w:rPr>
          <w:lang w:val="tr-TR"/>
        </w:rPr>
        <w:tab/>
        <w:t xml:space="preserve">Ölüm cezasının 2002 yılında kaldırılması </w:t>
      </w:r>
      <w:r w:rsidR="00CB6E0C" w:rsidRPr="00D149BB">
        <w:rPr>
          <w:lang w:val="tr-TR"/>
        </w:rPr>
        <w:t>ve ölüm cezasının 2004 yılında her koşulda kaldırılması;</w:t>
      </w:r>
    </w:p>
    <w:p w14:paraId="23A3C5BD" w14:textId="77777777" w:rsidR="00334889" w:rsidRPr="00D149BB" w:rsidRDefault="00334889" w:rsidP="00334889">
      <w:pPr>
        <w:pStyle w:val="SingleTxtG"/>
        <w:ind w:left="1701"/>
        <w:rPr>
          <w:lang w:val="tr-TR"/>
        </w:rPr>
      </w:pPr>
      <w:r w:rsidRPr="00D149BB">
        <w:rPr>
          <w:lang w:val="tr-TR"/>
        </w:rPr>
        <w:t xml:space="preserve">(c) </w:t>
      </w:r>
      <w:r w:rsidRPr="00D149BB">
        <w:rPr>
          <w:lang w:val="tr-TR"/>
        </w:rPr>
        <w:tab/>
        <w:t>Çalışma alanında kadın ve erkek arasındaki eşitsizliklerin ortadan kaldırılmasına yönelik yeni iyileştirmeler getiren 2003 tarihli 4857 sayılı yeni İş Kanunu.</w:t>
      </w:r>
    </w:p>
    <w:p w14:paraId="5CE5B52E" w14:textId="77777777" w:rsidR="00334889" w:rsidRPr="00D149BB" w:rsidRDefault="00334889" w:rsidP="00334889">
      <w:pPr>
        <w:pStyle w:val="SingleTxtG"/>
        <w:rPr>
          <w:lang w:val="tr-TR"/>
        </w:rPr>
      </w:pPr>
      <w:r w:rsidRPr="00D149BB">
        <w:rPr>
          <w:lang w:val="tr-TR"/>
        </w:rPr>
        <w:t xml:space="preserve">4. </w:t>
      </w:r>
      <w:r w:rsidRPr="00D149BB">
        <w:rPr>
          <w:lang w:val="tr-TR"/>
        </w:rPr>
        <w:tab/>
        <w:t>Komite, aşağıdaki hususların Taraf Devlet tarafından onaylanmasını memnuniyetle karşılamaktadır:</w:t>
      </w:r>
    </w:p>
    <w:p w14:paraId="73649786" w14:textId="77777777" w:rsidR="00334889" w:rsidRPr="00D149BB" w:rsidRDefault="00334889" w:rsidP="009D372B">
      <w:pPr>
        <w:pStyle w:val="SingleTxtG"/>
        <w:ind w:firstLine="567"/>
        <w:rPr>
          <w:lang w:val="tr-TR"/>
        </w:rPr>
      </w:pPr>
      <w:r w:rsidRPr="00D149BB">
        <w:rPr>
          <w:lang w:val="tr-TR"/>
        </w:rPr>
        <w:t xml:space="preserve">(a) </w:t>
      </w:r>
      <w:r w:rsidRPr="00D149BB">
        <w:rPr>
          <w:lang w:val="tr-TR"/>
        </w:rPr>
        <w:tab/>
        <w:t>2004 tarihli Çocuk Hakları Sözleşmesine Ek İhtiyari Protokol;</w:t>
      </w:r>
    </w:p>
    <w:p w14:paraId="7515EC82" w14:textId="77777777" w:rsidR="00334889" w:rsidRPr="00D149BB" w:rsidRDefault="00334889" w:rsidP="009D372B">
      <w:pPr>
        <w:pStyle w:val="SingleTxtG"/>
        <w:ind w:left="1701"/>
        <w:rPr>
          <w:lang w:val="tr-TR"/>
        </w:rPr>
      </w:pPr>
      <w:r w:rsidRPr="00D149BB">
        <w:rPr>
          <w:lang w:val="tr-TR"/>
        </w:rPr>
        <w:t xml:space="preserve">(b) </w:t>
      </w:r>
      <w:r w:rsidRPr="00D149BB">
        <w:rPr>
          <w:lang w:val="tr-TR"/>
        </w:rPr>
        <w:tab/>
        <w:t>2006 tarihli Medeni ve Siyasi Haklar Sözleşmesi'nin I. ve II. İhtiyari Protokolleri;</w:t>
      </w:r>
    </w:p>
    <w:p w14:paraId="651F2897" w14:textId="77777777" w:rsidR="00334889" w:rsidRPr="00D149BB" w:rsidRDefault="00334889" w:rsidP="009D372B">
      <w:pPr>
        <w:pStyle w:val="SingleTxtG"/>
        <w:ind w:left="1701"/>
        <w:rPr>
          <w:lang w:val="tr-TR"/>
        </w:rPr>
      </w:pPr>
      <w:r w:rsidRPr="00D149BB">
        <w:rPr>
          <w:lang w:val="tr-TR"/>
        </w:rPr>
        <w:t xml:space="preserve">(c) </w:t>
      </w:r>
      <w:r w:rsidRPr="00D149BB">
        <w:rPr>
          <w:lang w:val="tr-TR"/>
        </w:rPr>
        <w:tab/>
        <w:t>Engelli Kişilerin Haklarına İlişkin Sözleşme ve İhtiyari Protokolünün 2009'da imzalanması;</w:t>
      </w:r>
    </w:p>
    <w:p w14:paraId="77652250" w14:textId="77777777" w:rsidR="00334889" w:rsidRPr="00D149BB" w:rsidRDefault="00334889" w:rsidP="009D372B">
      <w:pPr>
        <w:pStyle w:val="SingleTxtG"/>
        <w:ind w:left="1701"/>
        <w:rPr>
          <w:lang w:val="tr-TR"/>
        </w:rPr>
      </w:pPr>
      <w:r w:rsidRPr="00D149BB">
        <w:rPr>
          <w:lang w:val="tr-TR"/>
        </w:rPr>
        <w:t xml:space="preserve">(d) </w:t>
      </w:r>
      <w:r w:rsidRPr="00D149BB">
        <w:rPr>
          <w:lang w:val="tr-TR"/>
        </w:rPr>
        <w:tab/>
      </w:r>
      <w:r w:rsidR="00BD177A" w:rsidRPr="00D149BB">
        <w:rPr>
          <w:lang w:val="tr-TR"/>
        </w:rPr>
        <w:t xml:space="preserve">İşkenceye ve Diğer İnsanlık Dışı ve Aşağılayıcı Muamele veya Cezaya Karşı Sözleşme'nin 2011 tarihli İhtiyari Protokolü </w:t>
      </w:r>
      <w:r w:rsidRPr="00D149BB">
        <w:rPr>
          <w:lang w:val="tr-TR"/>
        </w:rPr>
        <w:t>.</w:t>
      </w:r>
    </w:p>
    <w:p w14:paraId="7DE241C2" w14:textId="77777777" w:rsidR="00334889" w:rsidRPr="00D149BB" w:rsidRDefault="00334889" w:rsidP="00334889">
      <w:pPr>
        <w:pStyle w:val="H23G"/>
        <w:rPr>
          <w:sz w:val="22"/>
          <w:szCs w:val="22"/>
          <w:lang w:val="tr-TR"/>
        </w:rPr>
      </w:pPr>
      <w:r w:rsidRPr="00D149BB">
        <w:rPr>
          <w:sz w:val="22"/>
          <w:szCs w:val="22"/>
          <w:lang w:val="tr-TR"/>
        </w:rPr>
        <w:lastRenderedPageBreak/>
        <w:tab/>
        <w:t>C. Esas endişe verici konular ve tavsiyeler</w:t>
      </w:r>
    </w:p>
    <w:p w14:paraId="6C01A27D" w14:textId="77777777" w:rsidR="00334889" w:rsidRPr="00D149BB" w:rsidRDefault="00334889" w:rsidP="00334889">
      <w:pPr>
        <w:pStyle w:val="SingleTxtG"/>
        <w:rPr>
          <w:lang w:val="tr-TR" w:eastAsia="es-ES"/>
        </w:rPr>
      </w:pPr>
      <w:r w:rsidRPr="00D149BB">
        <w:rPr>
          <w:lang w:val="tr-TR"/>
        </w:rPr>
        <w:t xml:space="preserve">5. </w:t>
      </w:r>
      <w:r w:rsidRPr="00D149BB">
        <w:rPr>
          <w:lang w:val="tr-TR"/>
        </w:rPr>
        <w:tab/>
        <w:t xml:space="preserve">Komite, </w:t>
      </w:r>
      <w:r w:rsidR="00332ABE" w:rsidRPr="00D149BB">
        <w:rPr>
          <w:lang w:val="tr-TR" w:eastAsia="es-ES"/>
        </w:rPr>
        <w:t>Taraf Devletin, Sözleşmenin ve İhtiyari Protokolün onaylandığı tarihteki beyanlarını ve çekincelerini sürdürmesinden kaygı duymaktadır. Komite özellikle, bu beyanlardan birinin aslında Sözleşme'nin Taraf Devlet'in ulusal toprakları üzerindeki etkisini sınırlayan bir çekince olarak ortaya çıkmasından ve bunun Sözleşme'nin Sözleşme'ye tabi kişilere tamamen uygulanamaz hale gelmesiyle sonuçlanabileceğinden kaygı duymaktadır. birliklerinin veya polis güçlerinin yurt dışında faaliyet gösterdiği durumlarda kendi yargı yetkisine sahiptir.</w:t>
      </w:r>
    </w:p>
    <w:p w14:paraId="15C38EB9" w14:textId="77777777" w:rsidR="00334889" w:rsidRPr="00D149BB" w:rsidRDefault="00334889" w:rsidP="00BD177A">
      <w:pPr>
        <w:pStyle w:val="SingleTxtG"/>
        <w:rPr>
          <w:b/>
          <w:lang w:val="tr-TR" w:eastAsia="es-ES"/>
        </w:rPr>
      </w:pPr>
      <w:r w:rsidRPr="00D149BB">
        <w:rPr>
          <w:b/>
          <w:lang w:val="tr-TR" w:eastAsia="es-ES"/>
        </w:rPr>
        <w:t xml:space="preserve">Taraf Devlet çekincelerini ve beyanlarını geri çekmeyi düşünmelidir. Komite'nin, </w:t>
      </w:r>
      <w:r w:rsidR="00BD177A" w:rsidRPr="00D149BB">
        <w:rPr>
          <w:b/>
          <w:bCs/>
          <w:lang w:val="tr-TR"/>
        </w:rPr>
        <w:t xml:space="preserve">Sözleşmeye Taraf Devletlere yüklenen genel hukuki yükümlülüğün niteliğine ilişkin 31 No'lu genel yorumuna (2004) uygun olarak </w:t>
      </w:r>
      <w:r w:rsidRPr="00D149BB">
        <w:rPr>
          <w:b/>
          <w:lang w:val="tr-TR" w:eastAsia="es-ES"/>
        </w:rPr>
        <w:t>, Taraf Devlet, kendi yetki alanı ve etkin kontrolü altındaki tüm kişilerin Sözleşme'den tam olarak yararlanmasını sağlamalıdır. Sözleşmede yer alan haklar.</w:t>
      </w:r>
    </w:p>
    <w:p w14:paraId="0A4705AF" w14:textId="77777777" w:rsidR="00334889" w:rsidRPr="00D149BB" w:rsidRDefault="00334889" w:rsidP="00334889">
      <w:pPr>
        <w:pStyle w:val="SingleTxtG"/>
        <w:rPr>
          <w:lang w:val="tr-TR" w:eastAsia="es-ES"/>
        </w:rPr>
      </w:pPr>
      <w:r w:rsidRPr="00D149BB">
        <w:rPr>
          <w:rStyle w:val="SingleTxtGChar"/>
          <w:lang w:val="tr-TR"/>
        </w:rPr>
        <w:t xml:space="preserve">6. </w:t>
      </w:r>
      <w:r w:rsidRPr="00D149BB">
        <w:rPr>
          <w:rStyle w:val="SingleTxtGChar"/>
          <w:lang w:val="tr-TR"/>
        </w:rPr>
        <w:tab/>
        <w:t xml:space="preserve">Komite, Sözleşme hükümlerine ilişkin yargı, hukuk mesleği ve genel kamuoyunda görünürdeki sınırlı düzeydeki farkındalıktan kaygı duymaktadır; bunun sonucunda Sözleşme hükümlerine başvurulan davaların sayısı azdır. veya ulusal mahkemeler tarafından uygulanır </w:t>
      </w:r>
      <w:r w:rsidRPr="00D149BB">
        <w:rPr>
          <w:lang w:val="tr-TR" w:eastAsia="es-ES"/>
        </w:rPr>
        <w:t>(madde 2).</w:t>
      </w:r>
    </w:p>
    <w:p w14:paraId="61B1C012" w14:textId="77777777" w:rsidR="00334889" w:rsidRPr="00D149BB" w:rsidRDefault="00334889" w:rsidP="00334889">
      <w:pPr>
        <w:pStyle w:val="H23G"/>
        <w:rPr>
          <w:lang w:val="tr-TR" w:eastAsia="en-GB"/>
        </w:rPr>
      </w:pPr>
      <w:r w:rsidRPr="00D149BB">
        <w:rPr>
          <w:lang w:val="tr-TR" w:eastAsia="es-ES"/>
        </w:rPr>
        <w:tab/>
      </w:r>
      <w:r w:rsidRPr="00D149BB">
        <w:rPr>
          <w:lang w:val="tr-TR" w:eastAsia="es-ES"/>
        </w:rPr>
        <w:tab/>
        <w:t xml:space="preserve">Taraf Devlet, </w:t>
      </w:r>
      <w:r w:rsidR="00453213" w:rsidRPr="00D149BB">
        <w:rPr>
          <w:lang w:val="tr-TR" w:eastAsia="es-ES"/>
        </w:rPr>
        <w:t>Sözleşme'de düzenlenen haklar ve bunların iç hukukta uygulanabilirliği konusunda yargıçlar, hukuk mesleği ve genel kamuoyunda farkındalığı artırmak için önlemler almalıdır. Bir sonraki periyodik raporunda Taraf Devlet, Sözleşme'nin ulusal mahkemeler tarafından uygulanmasına ilişkin ayrıntılı bilgiye yer vermelidir.</w:t>
      </w:r>
    </w:p>
    <w:p w14:paraId="7B2266E6" w14:textId="77777777" w:rsidR="00334889" w:rsidRPr="00D149BB" w:rsidRDefault="00334889" w:rsidP="00453213">
      <w:pPr>
        <w:pStyle w:val="SingleTxtG"/>
        <w:rPr>
          <w:lang w:val="tr-TR" w:eastAsia="es-ES"/>
        </w:rPr>
      </w:pPr>
      <w:r w:rsidRPr="00D149BB">
        <w:rPr>
          <w:lang w:val="tr-TR" w:eastAsia="es-ES"/>
        </w:rPr>
        <w:t xml:space="preserve">7. </w:t>
      </w:r>
      <w:r w:rsidRPr="00D149BB">
        <w:rPr>
          <w:lang w:val="tr-TR" w:eastAsia="es-ES"/>
        </w:rPr>
        <w:tab/>
        <w:t xml:space="preserve">Komite, Haziran 2012'de Parlamento tarafından kabul edilen ulusal insan hakları kurumunun kurulmasına ilişkin yasanın, üyelerinin Başbakanlık tarafından atanmasını öngörmesi ve dolayısıyla Kurumun Yürütme Gücünden bağımsızlığının tehlikeye atılmasından kaygı duymaktadır. </w:t>
      </w:r>
      <w:r w:rsidR="00453213" w:rsidRPr="00D149BB">
        <w:rPr>
          <w:bCs/>
          <w:lang w:val="tr-TR"/>
        </w:rPr>
        <w:t xml:space="preserve">insan haklarının geliştirilmesi ve korunmasına yönelik ulusal kurumların statüsüne ilişkin ilkelerin </w:t>
      </w:r>
      <w:r w:rsidRPr="00D149BB">
        <w:rPr>
          <w:lang w:val="tr-TR" w:eastAsia="es-ES"/>
        </w:rPr>
        <w:t>ihlali (Paris İlkesi) (mad. 2).</w:t>
      </w:r>
    </w:p>
    <w:p w14:paraId="71D28920" w14:textId="20A2A3FA" w:rsidR="00334889" w:rsidRPr="00D149BB" w:rsidRDefault="00334889" w:rsidP="00453213">
      <w:pPr>
        <w:pStyle w:val="SingleTxtG"/>
        <w:jc w:val="left"/>
        <w:rPr>
          <w:b/>
          <w:bCs/>
          <w:lang w:val="tr-TR" w:eastAsia="es-ES"/>
        </w:rPr>
      </w:pPr>
      <w:r w:rsidRPr="00D149BB">
        <w:rPr>
          <w:b/>
          <w:bCs/>
          <w:lang w:val="tr-TR" w:eastAsia="es-ES"/>
        </w:rPr>
        <w:t>Taraf Devlet, Ulusal İnsan Hakları Kurumunun kurulmasına ilişkin 2012 yasasını, Ulusal İnsan Hakları Kurumunun organik ve mali bağımsızlığını</w:t>
      </w:r>
      <w:r w:rsidR="002410E4">
        <w:rPr>
          <w:b/>
          <w:bCs/>
          <w:lang w:val="tr-TR" w:eastAsia="es-ES"/>
        </w:rPr>
        <w:t xml:space="preserve"> </w:t>
      </w:r>
      <w:r w:rsidR="002410E4" w:rsidRPr="00D149BB">
        <w:rPr>
          <w:b/>
          <w:bCs/>
          <w:lang w:val="tr-TR" w:eastAsia="es-ES"/>
        </w:rPr>
        <w:t>Paris</w:t>
      </w:r>
      <w:r w:rsidRPr="00D149BB">
        <w:rPr>
          <w:b/>
          <w:bCs/>
          <w:lang w:val="tr-TR" w:eastAsia="es-ES"/>
        </w:rPr>
        <w:t xml:space="preserve"> İlkeler</w:t>
      </w:r>
      <w:r w:rsidR="002410E4">
        <w:rPr>
          <w:b/>
          <w:bCs/>
          <w:lang w:val="tr-TR" w:eastAsia="es-ES"/>
        </w:rPr>
        <w:t>in</w:t>
      </w:r>
      <w:r w:rsidRPr="00D149BB">
        <w:rPr>
          <w:b/>
          <w:bCs/>
          <w:lang w:val="tr-TR" w:eastAsia="es-ES"/>
        </w:rPr>
        <w:t>e tam uyum içinde garanti altına alacak şekilde değiştirmelidir.</w:t>
      </w:r>
    </w:p>
    <w:p w14:paraId="34E38F54" w14:textId="77777777" w:rsidR="00334889" w:rsidRPr="00D149BB" w:rsidRDefault="00334889" w:rsidP="000E401C">
      <w:pPr>
        <w:pStyle w:val="SingleTxtG"/>
        <w:rPr>
          <w:b/>
          <w:lang w:val="tr-TR" w:eastAsia="en-GB"/>
        </w:rPr>
      </w:pPr>
      <w:r w:rsidRPr="00D149BB">
        <w:rPr>
          <w:bCs/>
          <w:lang w:val="tr-TR" w:eastAsia="en-GB"/>
        </w:rPr>
        <w:t xml:space="preserve">8. </w:t>
      </w:r>
      <w:r w:rsidRPr="00D149BB">
        <w:rPr>
          <w:bCs/>
          <w:lang w:val="tr-TR" w:eastAsia="en-GB"/>
        </w:rPr>
        <w:tab/>
      </w:r>
      <w:r w:rsidRPr="00D149BB">
        <w:rPr>
          <w:lang w:val="tr-TR"/>
        </w:rPr>
        <w:t>Komite, taraf Devletin ayrımcılıkla ilgili mevcut mevzuatının kapsamlı olmamasından, dolayısıyla Sözleşmede sayılan tüm gerekçelerle ayrımcılığa karşı koruma sağlayamamasından kaygı duymaktadır. Komite özellikle cinsiyet kimliği ve cinsel yönelim temelinde ayrımcılığın yasaklanmasına özel bir atıf yapılmamasından kaygı duymaktadır. (madde 2, paragraf 1)</w:t>
      </w:r>
    </w:p>
    <w:p w14:paraId="18FE695A" w14:textId="77777777" w:rsidR="00334889" w:rsidRPr="00D149BB" w:rsidRDefault="00334889" w:rsidP="00334889">
      <w:pPr>
        <w:pStyle w:val="SingleTxtG"/>
        <w:jc w:val="left"/>
        <w:rPr>
          <w:b/>
          <w:lang w:val="tr-TR"/>
        </w:rPr>
      </w:pPr>
      <w:r w:rsidRPr="00D149BB">
        <w:rPr>
          <w:b/>
          <w:lang w:val="tr-TR"/>
        </w:rPr>
        <w:t xml:space="preserve">Taraf Devlet, </w:t>
      </w:r>
      <w:r w:rsidRPr="00D149BB">
        <w:rPr>
          <w:rFonts w:eastAsia="Arial Unicode MS"/>
          <w:b/>
          <w:lang w:val="tr-TR"/>
        </w:rPr>
        <w:t>ayrımcılık karşıtı ve eşitlikle ilgili mevzuat çıkarmalı ve bu mevzuatın, Sözleşme'de belirtilen tüm gerekçelere dayalı ayrımcılığın kapsamlı bir şekilde yasaklanmasını ve ayrıca cinsiyet kimliği ve cinsel yönelim temelinde ayrımcılığın yasaklanmasını içermesini sağlamalıdır. Taraf Devlet ayrıca ayrımcılık vakaları ve bu vakaların yetkili adli makamlar tarafından ele alınmasına ilişkin güvenilir ve kamuya açık verilerin sistematik olarak toplanmasını sağlamalıdır.</w:t>
      </w:r>
    </w:p>
    <w:p w14:paraId="731C6162" w14:textId="77777777" w:rsidR="00334889" w:rsidRPr="00D149BB" w:rsidRDefault="00334889" w:rsidP="00334889">
      <w:pPr>
        <w:pStyle w:val="SingleTxtG"/>
        <w:rPr>
          <w:lang w:val="tr-TR"/>
        </w:rPr>
      </w:pPr>
      <w:r w:rsidRPr="00D149BB">
        <w:rPr>
          <w:lang w:val="tr-TR"/>
        </w:rPr>
        <w:t xml:space="preserve">9. </w:t>
      </w:r>
      <w:r w:rsidRPr="00D149BB">
        <w:rPr>
          <w:lang w:val="tr-TR"/>
        </w:rPr>
        <w:tab/>
        <w:t>Komite, Kürtler ve Romanlar gibi azınlık mensuplarının maruz kaldığı, kendi kültürlerinden yararlanma ve kendi dillerini kullanma haklarını etkileyen ayrımcılık ve kısıtlamalardan kaygı duymaktadır.</w:t>
      </w:r>
      <w:r w:rsidRPr="00D149BB">
        <w:rPr>
          <w:lang w:val="tr-TR" w:eastAsia="es-ES"/>
        </w:rPr>
        <w:t xml:space="preserve"> </w:t>
      </w:r>
      <w:r w:rsidRPr="00D149BB">
        <w:rPr>
          <w:lang w:val="tr-TR"/>
        </w:rPr>
        <w:t>(maddeler 2 ve 27).</w:t>
      </w:r>
    </w:p>
    <w:p w14:paraId="22D0D594" w14:textId="77777777" w:rsidR="00334889" w:rsidRPr="00D149BB" w:rsidRDefault="00334889" w:rsidP="00334889">
      <w:pPr>
        <w:pStyle w:val="SingleTxtG"/>
        <w:rPr>
          <w:b/>
          <w:lang w:val="tr-TR"/>
        </w:rPr>
      </w:pPr>
      <w:r w:rsidRPr="00D149BB">
        <w:rPr>
          <w:b/>
          <w:lang w:val="tr-TR"/>
        </w:rPr>
        <w:t xml:space="preserve">Taraf Devlet, etnik, dini veya dilsel azınlıklara mensup herkesin her türlü ayrımcılığa karşı etkili bir şekilde korunmasını ve haklarından tam olarak yararlanabilmesini sağlamalıdır. Bu bağlamda Taraf Devlet </w:t>
      </w:r>
      <w:r w:rsidRPr="00D149BB">
        <w:rPr>
          <w:b/>
          <w:lang w:val="tr-TR" w:eastAsia="es-ES"/>
        </w:rPr>
        <w:t xml:space="preserve">, Sözleşme'nin 27. maddesine ilişkin </w:t>
      </w:r>
      <w:r w:rsidRPr="00D149BB">
        <w:rPr>
          <w:b/>
          <w:lang w:val="tr-TR"/>
        </w:rPr>
        <w:t>çekincesini geri çekmeyi düşünmelidir .</w:t>
      </w:r>
    </w:p>
    <w:p w14:paraId="409E54AD" w14:textId="77777777" w:rsidR="00334889" w:rsidRPr="00D149BB" w:rsidRDefault="00334889" w:rsidP="00B55232">
      <w:pPr>
        <w:pStyle w:val="SingleTxtG"/>
        <w:rPr>
          <w:lang w:val="tr-TR"/>
        </w:rPr>
      </w:pPr>
      <w:r w:rsidRPr="00D149BB">
        <w:rPr>
          <w:lang w:val="tr-TR"/>
        </w:rPr>
        <w:lastRenderedPageBreak/>
        <w:t xml:space="preserve">10. </w:t>
      </w:r>
      <w:r w:rsidRPr="00D149BB">
        <w:rPr>
          <w:lang w:val="tr-TR"/>
        </w:rPr>
        <w:tab/>
        <w:t xml:space="preserve">Komite, cinsiyet kimlikleri ve cinsel yönelimleri nedeniyle insanlara karşı uygulanan ayrımcılık ve şiddet iddialarından ve </w:t>
      </w:r>
      <w:r w:rsidR="000E401C" w:rsidRPr="00D149BB">
        <w:rPr>
          <w:rStyle w:val="st1"/>
          <w:color w:val="222222"/>
          <w:lang w:val="tr-TR"/>
        </w:rPr>
        <w:t xml:space="preserve">lezbiyen, gey, biseksüel ve trans ( </w:t>
      </w:r>
      <w:r w:rsidRPr="00D149BB">
        <w:rPr>
          <w:lang w:val="tr-TR"/>
        </w:rPr>
        <w:t>LGBT) kişilerin toplumsal damgalanması ve sosyal dışlanmasından endişe duymaktadır. zorunlu askerlik hizmetine ilişkin düzenlemeler kapsamında ve askerlik hizmeti sırasında sağlık hizmetlerine, eğitime veya tedaviye erişimleri (madde 2 ve 26).</w:t>
      </w:r>
    </w:p>
    <w:p w14:paraId="15233662" w14:textId="77777777" w:rsidR="00334889" w:rsidRPr="00D149BB" w:rsidRDefault="00334889" w:rsidP="000E401C">
      <w:pPr>
        <w:pStyle w:val="SingleTxtG"/>
        <w:rPr>
          <w:b/>
          <w:lang w:val="tr-TR"/>
        </w:rPr>
      </w:pPr>
      <w:r w:rsidRPr="00D149BB">
        <w:rPr>
          <w:b/>
          <w:lang w:val="tr-TR"/>
        </w:rPr>
        <w:t>Komite, ahlak ve kültürlerin çeşitliliğini uluslararası düzeyde kabul ederken, tüm kültürlerin her zaman insan haklarının evrenselliği ve ayrımcılık yapmama ilkelerine tabi olduğunu hatırlatır (genel yorum No. 34, paragraf 32). Bu nedenle Taraf Devlet, eşcinsellik, biseksüellik veya transeksüelliğin hiçbir şekilde sosyal olarak damgalanmasına veya cinsel yönelimleri veya cinsiyet kimlikleri nedeniyle kişilere yönelik tacize veya ayrımcılığa veya şiddete tolerans göstermediğini açık ve resmi olarak belirtmelidir. Mağdurun cinsel yönelimi veya cinsiyet kimliğinden kaynaklanan her türlü ayrımcılık veya şiddet eyleminin soruşturulmasını, kovuşturulmasını ve cezalandırılmasını sağlamalıdır.</w:t>
      </w:r>
    </w:p>
    <w:p w14:paraId="02EA16A9" w14:textId="77777777" w:rsidR="00334889" w:rsidRPr="00D149BB" w:rsidRDefault="00334889" w:rsidP="00334889">
      <w:pPr>
        <w:pStyle w:val="SingleTxtG"/>
        <w:rPr>
          <w:lang w:val="tr-TR"/>
        </w:rPr>
      </w:pPr>
      <w:r w:rsidRPr="00D149BB">
        <w:rPr>
          <w:lang w:val="tr-TR"/>
        </w:rPr>
        <w:t xml:space="preserve">11. </w:t>
      </w:r>
      <w:r w:rsidRPr="00D149BB">
        <w:rPr>
          <w:lang w:val="tr-TR"/>
        </w:rPr>
        <w:tab/>
        <w:t xml:space="preserve">Komite, 1980'li ve 1990'lı yıllardaki zorla kaybetme mağdurlarının ailelerinin hâlâ sevdiklerinin nerede olduğunu bilmemelerinden ve yukarıda </w:t>
      </w:r>
      <w:r w:rsidR="00DC6730" w:rsidRPr="00D149BB">
        <w:rPr>
          <w:bCs/>
          <w:lang w:val="tr-TR" w:eastAsia="es-ES"/>
        </w:rPr>
        <w:t xml:space="preserve">belirtilenler de dahil olmak üzere zorla kaybetme ve mezardan çıkarma vakalarına ilişkin kapsamlı bir yaklaşımın benimsenmemiş olmasından kaygı duymaktadır </w:t>
      </w:r>
      <w:r w:rsidR="00DC6730" w:rsidRPr="00D149BB">
        <w:rPr>
          <w:lang w:val="tr-TR"/>
        </w:rPr>
        <w:t xml:space="preserve">. </w:t>
      </w:r>
      <w:r w:rsidR="00DC6730" w:rsidRPr="00D149BB">
        <w:rPr>
          <w:bCs/>
          <w:lang w:val="tr-TR" w:eastAsia="es-ES"/>
        </w:rPr>
        <w:t xml:space="preserve">Avrupa İnsan Hakları Mahkemesi ( </w:t>
      </w:r>
      <w:r w:rsidR="00DC6730" w:rsidRPr="00D149BB">
        <w:rPr>
          <w:bCs/>
          <w:i/>
          <w:iCs/>
          <w:lang w:val="tr-TR" w:eastAsia="es-ES"/>
        </w:rPr>
        <w:t xml:space="preserve">Kıbrıs - Türkiye </w:t>
      </w:r>
      <w:r w:rsidR="00DC6730" w:rsidRPr="00D149BB">
        <w:rPr>
          <w:bCs/>
          <w:lang w:val="tr-TR" w:eastAsia="es-ES"/>
        </w:rPr>
        <w:t xml:space="preserve">ve </w:t>
      </w:r>
      <w:r w:rsidR="00DC6730" w:rsidRPr="00D149BB">
        <w:rPr>
          <w:bCs/>
          <w:iCs/>
          <w:lang w:val="tr-TR" w:eastAsia="es-ES"/>
        </w:rPr>
        <w:t xml:space="preserve">çok sayıda diğer bireysel dava </w:t>
      </w:r>
      <w:r w:rsidR="00DC6730" w:rsidRPr="00D149BB">
        <w:rPr>
          <w:bCs/>
          <w:lang w:val="tr-TR" w:eastAsia="es-ES"/>
        </w:rPr>
        <w:t xml:space="preserve">) ve </w:t>
      </w:r>
      <w:r w:rsidR="00DC6730" w:rsidRPr="00D149BB">
        <w:rPr>
          <w:lang w:val="tr-TR"/>
        </w:rPr>
        <w:t>Zorla ve İradesiz Kaybetmeler Çalışma Grubu tarafından belirlenen davalar (madde 6 ve 14).</w:t>
      </w:r>
    </w:p>
    <w:p w14:paraId="697408B0" w14:textId="77777777" w:rsidR="00334889" w:rsidRPr="00D149BB" w:rsidRDefault="00334889" w:rsidP="00334889">
      <w:pPr>
        <w:pStyle w:val="SingleTxtG"/>
        <w:rPr>
          <w:lang w:val="tr-TR"/>
        </w:rPr>
      </w:pPr>
      <w:r w:rsidRPr="00D149BB">
        <w:rPr>
          <w:b/>
          <w:lang w:val="tr-TR"/>
        </w:rPr>
        <w:t xml:space="preserve">Taraf Devlet, </w:t>
      </w:r>
      <w:r w:rsidRPr="00D149BB">
        <w:rPr>
          <w:b/>
          <w:bCs/>
          <w:lang w:val="tr-TR" w:eastAsia="es-ES"/>
        </w:rPr>
        <w:t xml:space="preserve">devam eden tüm kaybolma iddialarına ilişkin etkin, şeffaf ve bağımsız soruşturmaların yapılmasını sağlamalıdır </w:t>
      </w:r>
      <w:r w:rsidRPr="00D149BB">
        <w:rPr>
          <w:b/>
          <w:lang w:val="tr-TR"/>
        </w:rPr>
        <w:t>. Tüm bu durumlarda Taraf Devlet, failleri kovuşturup cezalandırmalı ve mağdurlara veya ailelerine uygun tazminat da dahil olmak üzere etkili tazminat sağlamalıdır. Ayrıca tüm toplu mezarların detaylı bir şekilde araştırılması sağlanmalıdır.</w:t>
      </w:r>
    </w:p>
    <w:p w14:paraId="237E4A18" w14:textId="77777777" w:rsidR="00334889" w:rsidRPr="00D149BB" w:rsidRDefault="00334889" w:rsidP="00E034C0">
      <w:pPr>
        <w:pStyle w:val="SingleTxtG"/>
        <w:rPr>
          <w:lang w:val="tr-TR"/>
        </w:rPr>
      </w:pPr>
      <w:r w:rsidRPr="00D149BB">
        <w:rPr>
          <w:lang w:val="tr-TR"/>
        </w:rPr>
        <w:t xml:space="preserve">12. </w:t>
      </w:r>
      <w:r w:rsidRPr="00D149BB">
        <w:rPr>
          <w:lang w:val="tr-TR"/>
        </w:rPr>
        <w:tab/>
        <w:t xml:space="preserve">Komite, 20 Mart 2012 tarihinde yürürlüğe giren 6284 Sayılı Kadın ve Aile Bireylerinin Şiddetten Korunması Hakkında Kanun'un kabul edilmesini memnuniyetle karşılamaktadır. </w:t>
      </w:r>
      <w:r w:rsidR="000E401C" w:rsidRPr="00D149BB">
        <w:rPr>
          <w:lang w:val="tr-TR"/>
        </w:rPr>
        <w:t>Bununla birlikte Komite, kanunun uygulanmasından sorumlu kurumların henüz verimli işleyişini garanti altına almak için gerekli mali ve insan kaynakları sağlanmıştır (madde 6 ve 7).</w:t>
      </w:r>
    </w:p>
    <w:p w14:paraId="3EED3264" w14:textId="77777777" w:rsidR="00334889" w:rsidRPr="00D149BB" w:rsidRDefault="00334889" w:rsidP="000E401C">
      <w:pPr>
        <w:pStyle w:val="SingleTxtG"/>
        <w:rPr>
          <w:b/>
          <w:lang w:val="tr-TR"/>
        </w:rPr>
      </w:pPr>
      <w:r w:rsidRPr="00D149BB">
        <w:rPr>
          <w:b/>
          <w:lang w:val="tr-TR"/>
        </w:rPr>
        <w:t>Taraf Devlet, kadınları ve aile üyelerini şiddetten korumak için katı bir zaman çizelgesi benimsemelidir; Sorumlu profesyoneller için periyodik ve zorunlu eğitimlerin düzenlenmesi ve halkın hakları ve mevcut prosedürler konusunda bilgilendirilmesi için bilinçlendirme programlarının geliştirilmesi yoluyla.</w:t>
      </w:r>
    </w:p>
    <w:p w14:paraId="2CB2FE98" w14:textId="77777777" w:rsidR="00334889" w:rsidRPr="00D149BB" w:rsidRDefault="00334889" w:rsidP="00334889">
      <w:pPr>
        <w:pStyle w:val="SingleTxtG"/>
        <w:rPr>
          <w:lang w:val="tr-TR"/>
        </w:rPr>
      </w:pPr>
      <w:r w:rsidRPr="00D149BB">
        <w:rPr>
          <w:rFonts w:eastAsia="Calibri"/>
          <w:color w:val="42210B"/>
          <w:lang w:val="tr-TR"/>
        </w:rPr>
        <w:t xml:space="preserve">13. </w:t>
      </w:r>
      <w:r w:rsidRPr="00D149BB">
        <w:rPr>
          <w:rFonts w:eastAsia="Calibri"/>
          <w:color w:val="42210B"/>
          <w:lang w:val="tr-TR"/>
        </w:rPr>
        <w:tab/>
      </w:r>
      <w:r w:rsidRPr="00D149BB">
        <w:rPr>
          <w:lang w:val="tr-TR"/>
        </w:rPr>
        <w:t>Komite, “namus cinayetleri” faillerine yönelik fiili ceza indiriminin kaldırılmasına dikkat çekerken, bu tür suçların yüksek oranlarından endişe duymaktadır (madde 6 ve 7).</w:t>
      </w:r>
    </w:p>
    <w:p w14:paraId="69DDE602" w14:textId="77777777" w:rsidR="00334889" w:rsidRPr="00D149BB" w:rsidRDefault="00334889" w:rsidP="00334889">
      <w:pPr>
        <w:pStyle w:val="SingleTxtG"/>
        <w:rPr>
          <w:b/>
          <w:lang w:val="tr-TR"/>
        </w:rPr>
      </w:pPr>
      <w:r w:rsidRPr="00D149BB">
        <w:rPr>
          <w:b/>
          <w:lang w:val="tr-TR"/>
        </w:rPr>
        <w:t>Taraf Devlet hiçbir durumda “namus cinayetlerine” müsamaha göstermemelidir. Bu açıdan Taraf Devlet, bu tür cinayetlerin ağırlaştırılmış cinayet olarak sınıflandırılabilmesi için Ceza Kanunu'nun 82. maddesi kapsamına alınmasını sağlamalıdır. Tüm “namus cinayeti” iddialarının etkili bir şekilde soruşturulması ve yaptırıma tabi tutulmasını güvence altına almak için çabalarını sürdürmeli ve bu tür suçların ciddiyetine ilişkin bilgileri geniş çapta yaymalıdır.</w:t>
      </w:r>
    </w:p>
    <w:p w14:paraId="00CDBDF0" w14:textId="77777777" w:rsidR="00334889" w:rsidRPr="00D149BB" w:rsidRDefault="00334889" w:rsidP="00334889">
      <w:pPr>
        <w:pStyle w:val="SingleTxtG"/>
        <w:rPr>
          <w:b/>
          <w:bCs/>
          <w:lang w:val="tr-TR"/>
        </w:rPr>
      </w:pPr>
      <w:r w:rsidRPr="00D149BB">
        <w:rPr>
          <w:lang w:val="tr-TR"/>
        </w:rPr>
        <w:t xml:space="preserve">14. Komite, kaydedilen ilerlemeye rağmen </w:t>
      </w:r>
      <w:r w:rsidRPr="00D149BB">
        <w:rPr>
          <w:lang w:val="tr-TR"/>
        </w:rPr>
        <w:tab/>
      </w:r>
      <w:r w:rsidRPr="00D149BB">
        <w:rPr>
          <w:bCs/>
          <w:lang w:val="tr-TR"/>
        </w:rPr>
        <w:t xml:space="preserve">kolluk görevlilerinin </w:t>
      </w:r>
      <w:r w:rsidRPr="00D149BB">
        <w:rPr>
          <w:lang w:val="tr-TR"/>
        </w:rPr>
        <w:t xml:space="preserve">işkence ve diğer insanlık dışı ve aşağılayıcı muamele iddialarının sayısının hâlâ yüksek olmasından kaygı duymaktadır . </w:t>
      </w:r>
      <w:r w:rsidRPr="00D149BB">
        <w:rPr>
          <w:bCs/>
          <w:lang w:val="tr-TR"/>
        </w:rPr>
        <w:t xml:space="preserve">Komite ayrıca, </w:t>
      </w:r>
      <w:r w:rsidRPr="00D149BB">
        <w:rPr>
          <w:lang w:val="tr-TR"/>
        </w:rPr>
        <w:t xml:space="preserve">kamu görevlileri tarafından yapıldığı iddia edilen işkence veya kötü muamele vakalarıyla ilgilenecek gerçek anlamda bağımsız bir şikayet mekanizmasının bulunmamasından ve bu tür davalara ilişkin kovuşturma sayısının düşük olmasından da kaygı duymaktadır </w:t>
      </w:r>
      <w:r w:rsidRPr="00D149BB">
        <w:rPr>
          <w:bCs/>
          <w:lang w:val="tr-TR"/>
        </w:rPr>
        <w:t xml:space="preserve">. Ayrıca Komite, taraf Devlet tarafından bu tür eylemlerin mağdurlarına </w:t>
      </w:r>
      <w:r w:rsidRPr="00D149BB">
        <w:rPr>
          <w:bCs/>
          <w:lang w:val="tr-TR"/>
        </w:rPr>
        <w:lastRenderedPageBreak/>
        <w:t>sağlanan telafi yolları hakkında hiçbir bilgi verilmemesinden kaygı duymaktadır (madde 7, 9 ve 14).</w:t>
      </w:r>
    </w:p>
    <w:p w14:paraId="6FFC402E" w14:textId="77777777" w:rsidR="00334889" w:rsidRPr="00D149BB" w:rsidRDefault="00334889" w:rsidP="00334889">
      <w:pPr>
        <w:pStyle w:val="SingleTxtG"/>
        <w:rPr>
          <w:b/>
          <w:lang w:val="tr-TR"/>
        </w:rPr>
      </w:pPr>
      <w:r w:rsidRPr="00D149BB">
        <w:rPr>
          <w:b/>
          <w:lang w:val="tr-TR"/>
        </w:rPr>
        <w:t>Taraf Devlet, hızlı ve bağımsız soruşturmalar, faillerin kovuşturulması ve mağdurlara yönelik etkili koruma ve çözüm önerilerinin benimsenmesi de dahil olmak üzere, kolluk kuvvetleri tarafından uygulanan her türlü işkenceyi ve insanlık dışı ve aşağılayıcı muameleyi ortadan kaldırmalıdır. Taraf Devlet, polis mensuplarının suç teşkil eden davranışlarına ilişkin şikayetler konusunda bağımsız bir denetim mekanizmasının oluşturulmasını ve uygulanmasını sağlamalıdır. Aynı zamanda tüm işkence ve diğer insanlık dışı ve aşağılayıcı muamele vakalarının gerektiği gibi soruşturulmasını ve kovuşturulmasını ve bu tür eylemlerin mağdurlarının yeterli tazminat ve tazminat almasını sağlamalıdır.</w:t>
      </w:r>
    </w:p>
    <w:p w14:paraId="3B37140E" w14:textId="77777777" w:rsidR="00334889" w:rsidRPr="00D149BB" w:rsidRDefault="00334889" w:rsidP="00334889">
      <w:pPr>
        <w:pStyle w:val="SingleTxtG"/>
        <w:rPr>
          <w:lang w:val="tr-TR"/>
        </w:rPr>
      </w:pPr>
      <w:r w:rsidRPr="00D149BB">
        <w:rPr>
          <w:lang w:val="tr-TR"/>
        </w:rPr>
        <w:t xml:space="preserve">15. </w:t>
      </w:r>
      <w:r w:rsidRPr="00D149BB">
        <w:rPr>
          <w:lang w:val="tr-TR"/>
        </w:rPr>
        <w:tab/>
        <w:t xml:space="preserve">Komite, “İnsan Ticaretiyle Mücadeleye İlişkin İkinci Ulusal Eylem Planı”nın kabul edilmesini kaydederken, insan ticareti vakalarının sayısından ve yalnızca birkaç vakanın soruşturmayla sonuçlanmış olmasından kaygı duymaktadır. , kovuşturma ve cezalar. Komite aynı zamanda insan ticareti mağdurlarının, girişlerinin veya ikametlerinin yasa dışı olması veya insan ticareti mağduru kişi olarak durumlarının doğrudan bir sonucu olarak dahil oldukları faaliyetler nedeniyle kovuşturmaya, gözaltına alınmaya veya cezalandırılmaya karşı korunmamasından da endişe duymaktadır </w:t>
      </w:r>
      <w:r w:rsidR="00915CFD" w:rsidRPr="00D149BB">
        <w:rPr>
          <w:lang w:val="tr-TR"/>
        </w:rPr>
        <w:t>(sanat .7 ve 8).</w:t>
      </w:r>
    </w:p>
    <w:p w14:paraId="4B093F51" w14:textId="77777777" w:rsidR="00334889" w:rsidRPr="00D149BB" w:rsidRDefault="00334889" w:rsidP="00334889">
      <w:pPr>
        <w:pStyle w:val="SingleTxtG"/>
        <w:rPr>
          <w:b/>
          <w:lang w:val="tr-TR"/>
        </w:rPr>
      </w:pPr>
      <w:r w:rsidRPr="00D149BB">
        <w:rPr>
          <w:b/>
          <w:lang w:val="tr-TR"/>
        </w:rPr>
        <w:t xml:space="preserve">Taraf Devlet, bölgesel düzey de dahil olmak üzere komşu ülkelerle işbirliği içinde ve polis memurları, sınır personeli, hakimler, avukatlar ve diğer ilgili personele yönelik eğitim organizasyonları yoluyla insan ticaretini önleme, bastırma ve cezalandırma çabalarını sürdürmelidir. Bu olgu ve mağdurların hakları konusunda farkındalık yaratmak amacıyla. </w:t>
      </w:r>
      <w:r w:rsidRPr="00D149BB">
        <w:rPr>
          <w:b/>
          <w:bCs/>
          <w:lang w:val="tr-TR"/>
        </w:rPr>
        <w:t>Taraf Devlet, insan ticareti mağdurlarını, insan ticareti mağduru olarak durumlarının doğrudan bir sonucu olarak dahil oldukları faaliyetlerden dolayı kovuşturmaya, gözaltına alınmaya veya cezalandırılmaya karşı korumak için önlemler almalıdır. Taraf Devlet, insan ticareti mağdurlarına yönelik yardım ve koruma programlarının seçici bir şekilde uygulanmamasını sağlamalıdır.</w:t>
      </w:r>
    </w:p>
    <w:p w14:paraId="3CCEE549" w14:textId="77777777" w:rsidR="00334889" w:rsidRPr="00D149BB" w:rsidRDefault="00334889" w:rsidP="00334889">
      <w:pPr>
        <w:pStyle w:val="SingleTxtG"/>
        <w:rPr>
          <w:bCs/>
          <w:lang w:val="tr-TR"/>
        </w:rPr>
      </w:pPr>
      <w:r w:rsidRPr="00D149BB">
        <w:rPr>
          <w:bCs/>
          <w:lang w:val="tr-TR"/>
        </w:rPr>
        <w:t xml:space="preserve">16. </w:t>
      </w:r>
      <w:r w:rsidRPr="00D149BB">
        <w:rPr>
          <w:bCs/>
          <w:lang w:val="tr-TR"/>
        </w:rPr>
        <w:tab/>
        <w:t xml:space="preserve">Komite, 1991 tarihli Terörle Mücadele Kanunu'nun (3713 sayılı Kanun) bazı hükümlerinin Sözleşme haklarıyla uyumsuz olmasından kaygı duymaktadır. Komite özellikle (a) terör eyleminin tanımının belirsizliği; (b) adil yargılanma hakkına getirilen geniş kapsamlı kısıtlamalar; (c) insan hakları savunucularının, avukatların, gazetecilerin ve hatta çocukların, özellikle terörle mücadelede şiddet içermeyen </w:t>
      </w:r>
      <w:r w:rsidR="00915CFD" w:rsidRPr="00D149BB">
        <w:rPr>
          <w:bCs/>
          <w:lang w:val="tr-TR"/>
        </w:rPr>
        <w:t xml:space="preserve">tartışmalar </w:t>
      </w:r>
      <w:r w:rsidRPr="00D149BB">
        <w:rPr>
          <w:bCs/>
          <w:lang w:val="tr-TR"/>
        </w:rPr>
        <w:t xml:space="preserve">bağlamında görüş ve fikirlerini özgürce ifade etmeleri nedeniyle Terörle Mücadele Kanunu uyarınca suçlandığı davaların çokluğu. </w:t>
      </w:r>
      <w:r w:rsidR="00915CFD" w:rsidRPr="00D149BB">
        <w:rPr>
          <w:bCs/>
          <w:lang w:val="tr-TR"/>
        </w:rPr>
        <w:t>Kürt sorunu (maddeler 2, 14 ve 19).</w:t>
      </w:r>
    </w:p>
    <w:p w14:paraId="683EF9B5" w14:textId="77777777" w:rsidR="00334889" w:rsidRPr="00D149BB" w:rsidRDefault="00334889" w:rsidP="007C282E">
      <w:pPr>
        <w:pStyle w:val="SingleTxtG"/>
        <w:rPr>
          <w:b/>
          <w:bCs/>
          <w:lang w:val="tr-TR"/>
        </w:rPr>
      </w:pPr>
      <w:r w:rsidRPr="00D149BB">
        <w:rPr>
          <w:b/>
          <w:bCs/>
          <w:lang w:val="tr-TR"/>
        </w:rPr>
        <w:t>Taraf Devlet, terörle mücadele mevzuatının ve uygulamalarının Sözleşmeyle tam uyumlu olmasını sağlamalıdır. Taraf Devlet, uygulamasının tartışmasız terör suçu olan suçlarla sınırlı olmasını sağlamak için 1991 Terörle Mücadele Kanunu'ndaki terör eylemi tanımındaki belirsizliği ele almalıdır. Bu bağlamda Taraf Devlet, terör eylemlerinin kovuşturulmasının Sözleşme'nin 14. maddesinde yer alan tüm yasal güvencelere tam olarak uyularak yürütüleceğini garanti etmeli ve geçici yasal hükümlerin tutarlı bir şekilde uygulanmasını sağlamalıdır. Kasım 2011'den önce gazeteciler tarafından işlendiği iddia edilen suçlar.</w:t>
      </w:r>
    </w:p>
    <w:p w14:paraId="52FE8CF0" w14:textId="77777777" w:rsidR="00334889" w:rsidRPr="00D149BB" w:rsidRDefault="00334889" w:rsidP="007C282E">
      <w:pPr>
        <w:pStyle w:val="SingleTxtG"/>
        <w:rPr>
          <w:bCs/>
          <w:lang w:val="tr-TR"/>
        </w:rPr>
      </w:pPr>
      <w:r w:rsidRPr="00D149BB">
        <w:rPr>
          <w:lang w:val="tr-TR"/>
        </w:rPr>
        <w:t xml:space="preserve">17. </w:t>
      </w:r>
      <w:r w:rsidRPr="00D149BB">
        <w:rPr>
          <w:lang w:val="tr-TR"/>
        </w:rPr>
        <w:tab/>
        <w:t xml:space="preserve">Komite, </w:t>
      </w:r>
      <w:r w:rsidR="007C282E" w:rsidRPr="00D149BB">
        <w:rPr>
          <w:lang w:val="tr-TR"/>
        </w:rPr>
        <w:t xml:space="preserve">terörizmle ilgili suçlar için on yıla kadar ve diğer suçlar için beş yıla varan uzun yargılama öncesi tutukluluk süresinin yaygın olarak kullanılmasından endişe duymaktadır; bu, cezaevlerinin aşırı kalabalıklaşması sorununa büyük ölçüde katkıda bulunmaktadır. Komite ayrıca, tutukluların, </w:t>
      </w:r>
      <w:r w:rsidRPr="00D149BB">
        <w:rPr>
          <w:color w:val="000000"/>
          <w:lang w:val="tr-TR"/>
        </w:rPr>
        <w:t xml:space="preserve">duruşma öncesi tutukluluklarının hukuka uygunluğuna itiraz edecek etkili bir mekanizmaya erişimlerinin olmamasından ve uygulamada her zaman bir avukata hemen erişimlerinin olmamasından kaygı duymaktadır </w:t>
      </w:r>
      <w:r w:rsidRPr="00D149BB">
        <w:rPr>
          <w:lang w:val="tr-TR"/>
        </w:rPr>
        <w:t>(madde 9).</w:t>
      </w:r>
    </w:p>
    <w:p w14:paraId="0A71BA84" w14:textId="77777777" w:rsidR="00334889" w:rsidRPr="00D149BB" w:rsidRDefault="00334889" w:rsidP="007C282E">
      <w:pPr>
        <w:pStyle w:val="SingleTxtG"/>
        <w:rPr>
          <w:b/>
          <w:bCs/>
          <w:lang w:val="tr-TR"/>
        </w:rPr>
      </w:pPr>
      <w:r w:rsidRPr="00D149BB">
        <w:rPr>
          <w:b/>
          <w:bCs/>
          <w:lang w:val="tr-TR"/>
        </w:rPr>
        <w:lastRenderedPageBreak/>
        <w:t>Taraf Devlet, Sözleşme'nin 9. maddesine uygun olarak yargılama öncesi tutukluluğun yasal süresini kısaltmalı ve bu sürenin yalnızca istisnai bir tedbir olarak kullanılmasını sağlamalıdır. Taraf Devlet, tutukluların avukata erişimini ve yargılama öncesi tutukluluklarının hukuka uygunluğuna itiraz edebilecek etkili ve bağımsız bir mekanizmaya erişimini garanti etmelidir. Taraf Devlet aynı zamanda elektronik izleme ve şartlı salıverme gibi yargılama öncesi tutukluluğa alternatif tedbirlerin kullanımını da artırmalıdır.</w:t>
      </w:r>
    </w:p>
    <w:p w14:paraId="480D1FF0" w14:textId="77777777" w:rsidR="001C5501" w:rsidRPr="00D149BB" w:rsidRDefault="001C5501" w:rsidP="00334889">
      <w:pPr>
        <w:pStyle w:val="SingleTxtG"/>
        <w:rPr>
          <w:bCs/>
          <w:lang w:val="tr-TR"/>
        </w:rPr>
      </w:pPr>
      <w:r w:rsidRPr="00D149BB">
        <w:rPr>
          <w:bCs/>
          <w:lang w:val="tr-TR"/>
        </w:rPr>
        <w:t>18. Komite, cezaevlerindeki aşırı kalabalıktan ve tutukluluk koşullarından kaygı duymaktadır. Komite aynı zamanda mahkûmların yeterli sağlık hizmetlerine zamanında erişimden sıklıkla mahrum bırakılmalarından da kaygı duymaktadır (madde 10).</w:t>
      </w:r>
    </w:p>
    <w:p w14:paraId="3A8F06B1" w14:textId="77777777" w:rsidR="001C5501" w:rsidRPr="00D149BB" w:rsidRDefault="001C5501" w:rsidP="00056BFD">
      <w:pPr>
        <w:spacing w:after="120"/>
        <w:ind w:left="1134" w:right="1140"/>
        <w:jc w:val="both"/>
        <w:rPr>
          <w:b/>
          <w:bCs/>
          <w:lang w:val="tr-TR"/>
        </w:rPr>
      </w:pPr>
      <w:r w:rsidRPr="00D149BB">
        <w:rPr>
          <w:b/>
          <w:bCs/>
          <w:lang w:val="tr-TR"/>
        </w:rPr>
        <w:t>Taraf Devlet, mahkumlara yönelik muameleyi ve cezaevleri ve gözaltı tesislerindeki koşulları, Sözleşme ve Birleşmiş Milletler Mahkumlara Muamele Konusunda Asgari Standart Kurallar doğrultusunda, yeterli sağlık hizmetlerine zamanında erişimleri de dahil olmak üzere, iyileştirmek için somut adımlar atmalıdır. Bu bağlamda, Taraf Devlet yalnızca yeni hapishane tesislerinin inşasını değil, aynı zamanda elektronik izleme, şartlı tahliye ve kamu hizmeti gibi hapis dışı alternatif cezaların daha geniş çapta uygulanmasını da dikkate almalıdır.</w:t>
      </w:r>
    </w:p>
    <w:p w14:paraId="1C00793D" w14:textId="77777777" w:rsidR="00334889" w:rsidRPr="00D149BB" w:rsidRDefault="00391453" w:rsidP="00334889">
      <w:pPr>
        <w:pStyle w:val="SingleTxtG"/>
        <w:rPr>
          <w:bCs/>
          <w:lang w:val="tr-TR"/>
        </w:rPr>
      </w:pPr>
      <w:r w:rsidRPr="00D149BB">
        <w:rPr>
          <w:bCs/>
          <w:lang w:val="tr-TR"/>
        </w:rPr>
        <w:t xml:space="preserve">19. Komite </w:t>
      </w:r>
      <w:r w:rsidR="00334889" w:rsidRPr="00D149BB">
        <w:rPr>
          <w:bCs/>
          <w:lang w:val="tr-TR"/>
        </w:rPr>
        <w:tab/>
      </w:r>
      <w:r w:rsidR="005C46F6" w:rsidRPr="00D149BB">
        <w:rPr>
          <w:bCs/>
          <w:lang w:val="tr-TR"/>
        </w:rPr>
        <w:t xml:space="preserve">, Sözleşme'nin 22. maddesi (mad. 22) kapsamında </w:t>
      </w:r>
      <w:r w:rsidR="00334889" w:rsidRPr="00D149BB">
        <w:rPr>
          <w:bCs/>
          <w:lang w:val="tr-TR"/>
        </w:rPr>
        <w:t>örgütlenme özgürlüğü hakkını kısıtlama etkisine sahip olan “yasadışı örgütler” tanımının belirsizliği ve netlik eksikliğinden kaygı duymaktadır .</w:t>
      </w:r>
    </w:p>
    <w:p w14:paraId="5937D0D5" w14:textId="77777777" w:rsidR="00334889" w:rsidRPr="00D149BB" w:rsidRDefault="00334889" w:rsidP="00334889">
      <w:pPr>
        <w:pStyle w:val="SingleTxtG"/>
        <w:rPr>
          <w:b/>
          <w:bCs/>
          <w:lang w:val="tr-TR"/>
        </w:rPr>
      </w:pPr>
      <w:r w:rsidRPr="00D149BB">
        <w:rPr>
          <w:b/>
          <w:bCs/>
          <w:lang w:val="tr-TR"/>
        </w:rPr>
        <w:t>Taraf Devlet, Sözleşme'nin 22. maddesine tam uyum sağlamak için "yasadışı örgütler" kavramını katı bir şekilde sınırlamalıdır.</w:t>
      </w:r>
    </w:p>
    <w:p w14:paraId="4D5353A5" w14:textId="77777777" w:rsidR="00334889" w:rsidRPr="00D149BB" w:rsidRDefault="00391453" w:rsidP="00334889">
      <w:pPr>
        <w:pStyle w:val="SingleTxtG"/>
        <w:rPr>
          <w:bCs/>
          <w:lang w:val="tr-TR"/>
        </w:rPr>
      </w:pPr>
      <w:r w:rsidRPr="00D149BB">
        <w:rPr>
          <w:bCs/>
          <w:lang w:val="tr-TR"/>
        </w:rPr>
        <w:t xml:space="preserve">20. </w:t>
      </w:r>
      <w:r w:rsidR="00334889" w:rsidRPr="00D149BB">
        <w:rPr>
          <w:bCs/>
          <w:lang w:val="tr-TR"/>
        </w:rPr>
        <w:tab/>
        <w:t xml:space="preserve">Taraf Devletin, Geçici Koruma rejiminin tutarlı bir şekilde uygulanması ve heyetin bunu sürdürmeye yönelik güvenceleri yoluyla Suriyeli mültecilere sağladığı büyük desteği memnuniyetle karşılarken ve devam eden yasal reform sürecini dikkate alırken, Komite şu endişeleri taşımaktadır: Mevcut yasa, özellikle Türkiye'nin 1951 Mülteci </w:t>
      </w:r>
      <w:r w:rsidR="005C46F6" w:rsidRPr="00D149BB">
        <w:rPr>
          <w:bCs/>
          <w:lang w:val="tr-TR"/>
        </w:rPr>
        <w:t xml:space="preserve">Sözleşmesi (mad. 7, 9 ve 13) </w:t>
      </w:r>
      <w:r w:rsidR="00334889" w:rsidRPr="00D149BB">
        <w:rPr>
          <w:bCs/>
          <w:lang w:val="tr-TR"/>
        </w:rPr>
        <w:t>kapsamında kabul ettiği coğrafi sınırlamanın bir sonucu olarak, mültecileri yeterince koruyamıyor .</w:t>
      </w:r>
    </w:p>
    <w:p w14:paraId="10BCB9BC" w14:textId="77777777" w:rsidR="00334889" w:rsidRPr="00D149BB" w:rsidRDefault="00334889" w:rsidP="00334889">
      <w:pPr>
        <w:pStyle w:val="SingleTxtG"/>
        <w:rPr>
          <w:bCs/>
          <w:lang w:val="tr-TR"/>
        </w:rPr>
      </w:pPr>
      <w:r w:rsidRPr="00D149BB">
        <w:rPr>
          <w:b/>
          <w:lang w:val="tr-TR"/>
        </w:rPr>
        <w:t>Taraf Devlet, uluslararası koruma için başvuran tüm kişilerin, menşe bölgelerine bakılmaksızın, adil ve etkili bir mülteci belirleme prosedürüne erişmelerini ve insan hakları standartlarına uygun olarak tüm aşamalarda uygun ve adil muamele görmelerini sağlamalıdır. Bu perspektiften bakıldığında, Taraf Devletin ayrıca Sözleşme ve 1951 Sözleşmesine uygun mevzuatı derhal yürürlüğe koyması gerekmektedir.</w:t>
      </w:r>
    </w:p>
    <w:p w14:paraId="332E1E24" w14:textId="77777777" w:rsidR="00334889" w:rsidRPr="00D149BB" w:rsidRDefault="00391453" w:rsidP="00915CFD">
      <w:pPr>
        <w:pStyle w:val="SingleTxtG"/>
        <w:rPr>
          <w:lang w:val="tr-TR"/>
        </w:rPr>
      </w:pPr>
      <w:r w:rsidRPr="00D149BB">
        <w:rPr>
          <w:lang w:val="tr-TR"/>
        </w:rPr>
        <w:t xml:space="preserve">21. </w:t>
      </w:r>
      <w:r w:rsidR="00334889" w:rsidRPr="00D149BB">
        <w:rPr>
          <w:lang w:val="tr-TR"/>
        </w:rPr>
        <w:tab/>
        <w:t xml:space="preserve">Komite, Türk Devleti'nin laik karakterini kabul etmekle birlikte </w:t>
      </w:r>
      <w:r w:rsidR="007C282E" w:rsidRPr="00D149BB">
        <w:rPr>
          <w:lang w:val="tr-TR"/>
        </w:rPr>
        <w:t>, 5737 sayılı Vakıflar Kanunu'nda 2011 yılında yapılan değişiklikleri ve bunların gayrimüslim dini toplulukların mülklerinin tesciline olanak sağlayan uygulamalarını memnuniyetle karşılamakla birlikte, kısıtlamalardan endişe duymaktadır. 1935 Vakıflar Kanunu kapsamına girmeyen Müslüman cemaatlerin yanı sıra gayrimüslim dini cemaatlere de dayatılan yükümlülükler (mad. 18 ve 26).</w:t>
      </w:r>
    </w:p>
    <w:p w14:paraId="0B471170" w14:textId="77777777" w:rsidR="00334889" w:rsidRPr="00D149BB" w:rsidRDefault="00334889" w:rsidP="00334889">
      <w:pPr>
        <w:pStyle w:val="SingleTxtG"/>
        <w:rPr>
          <w:b/>
          <w:lang w:val="tr-TR"/>
        </w:rPr>
      </w:pPr>
      <w:r w:rsidRPr="00D149BB">
        <w:rPr>
          <w:b/>
          <w:lang w:val="tr-TR"/>
        </w:rPr>
        <w:t>Taraf Devlet, örneğin Türk Medeni Kanunu'nda öngörüldüğü gibi, dernek veya vakıf şeklinde örgütlenme hakkının tanınması yoluyla, herkesin dinini veya inancını başkalarıyla birlikte topluluk halinde açıklama hakkını garanti etmelidir.</w:t>
      </w:r>
    </w:p>
    <w:p w14:paraId="4074BEAB" w14:textId="77777777" w:rsidR="00334889" w:rsidRPr="00D149BB" w:rsidRDefault="00391453" w:rsidP="005C46F6">
      <w:pPr>
        <w:pStyle w:val="SingleTxtG"/>
        <w:rPr>
          <w:lang w:val="tr-TR"/>
        </w:rPr>
      </w:pPr>
      <w:r w:rsidRPr="00D149BB">
        <w:rPr>
          <w:lang w:val="tr-TR"/>
        </w:rPr>
        <w:t xml:space="preserve">22. </w:t>
      </w:r>
      <w:r w:rsidR="00334889" w:rsidRPr="00D149BB">
        <w:rPr>
          <w:lang w:val="tr-TR"/>
        </w:rPr>
        <w:tab/>
        <w:t xml:space="preserve">Komite, gayrimüslim dini topluluklara ve diğer azınlıklara yönelik nefret suçları ile </w:t>
      </w:r>
      <w:r w:rsidR="007C282E" w:rsidRPr="00D149BB">
        <w:rPr>
          <w:lang w:val="tr-TR"/>
        </w:rPr>
        <w:t>diziler ve filmler de dahil olmak üzere medyada devam eden ve cezasız kalan nefret söyleminden endişe duymaktadır (madde 18, 20 ve 27).</w:t>
      </w:r>
    </w:p>
    <w:p w14:paraId="59C37CD0" w14:textId="77777777" w:rsidR="00334889" w:rsidRPr="00D149BB" w:rsidRDefault="00334889" w:rsidP="00334889">
      <w:pPr>
        <w:pStyle w:val="SingleTxtG"/>
        <w:rPr>
          <w:lang w:val="tr-TR"/>
        </w:rPr>
      </w:pPr>
      <w:r w:rsidRPr="00D149BB">
        <w:rPr>
          <w:b/>
          <w:lang w:val="tr-TR"/>
        </w:rPr>
        <w:lastRenderedPageBreak/>
        <w:t xml:space="preserve">Taraf </w:t>
      </w:r>
      <w:r w:rsidRPr="00D149BB">
        <w:rPr>
          <w:b/>
          <w:lang w:val="tr-TR" w:eastAsia="sv-SE"/>
        </w:rPr>
        <w:t>Devlet, Sözleşme'nin 20. maddesini ihlal eden nefret söylemini etkili bir şekilde yasaklamak ve ilgili ceza hukuku hükümlerinin ve politika direktiflerinin etkili bir şekilde uygulanmasını sağlamak için çabalarını yoğunlaştırmalıdır.</w:t>
      </w:r>
    </w:p>
    <w:p w14:paraId="3B981779" w14:textId="77777777" w:rsidR="00334889" w:rsidRPr="00D149BB" w:rsidRDefault="00391453" w:rsidP="00334889">
      <w:pPr>
        <w:pStyle w:val="SingleTxtG"/>
        <w:rPr>
          <w:lang w:val="tr-TR"/>
        </w:rPr>
      </w:pPr>
      <w:r w:rsidRPr="00D149BB">
        <w:rPr>
          <w:lang w:val="tr-TR"/>
        </w:rPr>
        <w:t xml:space="preserve">23. </w:t>
      </w:r>
      <w:r w:rsidR="00334889" w:rsidRPr="00D149BB">
        <w:rPr>
          <w:lang w:val="tr-TR"/>
        </w:rPr>
        <w:tab/>
        <w:t xml:space="preserve">Komite, askerlik hizmetine yönelik vicdani ret hakkının Taraf Devlet tarafından tanınmamasından kaygı duymaktadır. Komite, vicdani retçilerin veya vicdani reddi destekleyen kişilerin hâlâ </w:t>
      </w:r>
      <w:r w:rsidR="00645365" w:rsidRPr="00D149BB">
        <w:rPr>
          <w:lang w:val="tr-TR"/>
        </w:rPr>
        <w:t>hapis cezasına çarptırılma tehlikesiyle karşı karşıya olmalarını ve askerlik hizmetini reddetmeyi sürdürdükleri için hareket özgürlüğü gibi bazı medeni ve siyasi haklarından fiilen mahrum kalmalarını üzüntüyle karşılamaktadır. ve oy kullanma hakkı (maddeler 12, 18 ve 25).</w:t>
      </w:r>
    </w:p>
    <w:p w14:paraId="54C9439D" w14:textId="77777777" w:rsidR="00334889" w:rsidRPr="00D149BB" w:rsidRDefault="00334889" w:rsidP="00334889">
      <w:pPr>
        <w:pStyle w:val="SingleTxtG"/>
        <w:rPr>
          <w:b/>
          <w:lang w:val="tr-TR"/>
        </w:rPr>
      </w:pPr>
      <w:r w:rsidRPr="00D149BB">
        <w:rPr>
          <w:b/>
          <w:lang w:val="tr-TR"/>
        </w:rPr>
        <w:t>Taraf Devlet, askerlik hizmetine karşı vicdani reddi tanıyan ve düzenleyen mevzuatı kabul etmeli, böylece cezalandırıcı veya ayrımcı sonuçlar doğuran alternatif hizmet seçeneğini sunmalı ve bu arada vicdani retçilere karşı tüm davaları askıya almalı ve bu seçeneği askıya almalıdır. tüm cezalar zaten uygulanmış.</w:t>
      </w:r>
    </w:p>
    <w:p w14:paraId="4833C2E3" w14:textId="77777777" w:rsidR="00334889" w:rsidRPr="00D149BB" w:rsidRDefault="00391453" w:rsidP="00334889">
      <w:pPr>
        <w:pStyle w:val="SingleTxtG"/>
        <w:rPr>
          <w:color w:val="000000"/>
          <w:lang w:val="tr-TR"/>
        </w:rPr>
      </w:pPr>
      <w:r w:rsidRPr="00D149BB">
        <w:rPr>
          <w:lang w:val="tr-TR"/>
        </w:rPr>
        <w:t xml:space="preserve">24. </w:t>
      </w:r>
      <w:r w:rsidR="00334889" w:rsidRPr="00D149BB">
        <w:rPr>
          <w:lang w:val="tr-TR"/>
        </w:rPr>
        <w:tab/>
        <w:t xml:space="preserve">Komite, insan hakları savunucularının ve medya çalışanlarının, özellikle 125. maddede hakaretin suç sayılması ve 214, 215, 216. ve 216. maddelerin aşırı uygulanması yoluyla mesleklerini icra etmeleri nedeniyle mahkumiyetlere maruz kalmaya devam etmesinden kaygı duymaktadır. 220 (kamu düzeninin korunması) veya 226. (müstehcen materyallerin yayınlanması veya yayınlanması), 285. (soruşturmaların gizliliği), 228. (yargı), 314. (silahlı örgüt üyeliği), 318. (orduya yönelik eleştirinin yasaklanması) Ceza Kanunu'na aykırı olarak, </w:t>
      </w:r>
      <w:r w:rsidR="00334889" w:rsidRPr="00D149BB">
        <w:rPr>
          <w:color w:val="000000"/>
          <w:lang w:val="tr-TR"/>
        </w:rPr>
        <w:t xml:space="preserve">eleştirel tutumların ifade edilmesini veya geçerli kamu çıkarını ilgilendiren konularda eleştirel medya haberlerini caydırarak taraf Devlette ifade özgürlüğünü olumsuz yönde etkilemektedir. </w:t>
      </w:r>
      <w:r w:rsidR="00334889" w:rsidRPr="00D149BB">
        <w:rPr>
          <w:bCs/>
          <w:lang w:val="tr-TR"/>
        </w:rPr>
        <w:t xml:space="preserve">Ayrıca, Kasım 2011'den önce gazeteciler tarafından işlendiği iddia edilen bazı suçlara ilişkin kısmi af hakkında Taraf Devlet tarafından sağlanan bilgileri memnuniyetle karşılayan Komite, geçici yasal hükümlerin tutarsız uygulanmasından ve kapsama girmeyen diğer gazeteciler hakkında devam eden kovuşturmalardan endişe duymaktadır. siyasi af yoluyla </w:t>
      </w:r>
      <w:r w:rsidR="00334889" w:rsidRPr="00D149BB">
        <w:rPr>
          <w:color w:val="000000"/>
          <w:lang w:val="tr-TR"/>
        </w:rPr>
        <w:t>(maddeler 9, 14 ve 19).</w:t>
      </w:r>
    </w:p>
    <w:p w14:paraId="04C86B0A" w14:textId="77777777" w:rsidR="00334889" w:rsidRPr="00D149BB" w:rsidRDefault="00334889" w:rsidP="005C46F6">
      <w:pPr>
        <w:pStyle w:val="SingleTxtG"/>
        <w:rPr>
          <w:b/>
          <w:bCs/>
          <w:color w:val="000000"/>
          <w:lang w:val="tr-TR"/>
        </w:rPr>
      </w:pPr>
      <w:r w:rsidRPr="00D149BB">
        <w:rPr>
          <w:b/>
          <w:bCs/>
          <w:color w:val="000000"/>
          <w:lang w:val="tr-TR"/>
        </w:rPr>
        <w:t xml:space="preserve">Taraf Devlet, Komite'nin </w:t>
      </w:r>
      <w:r w:rsidR="008F1ECA" w:rsidRPr="00D149BB">
        <w:rPr>
          <w:b/>
          <w:bCs/>
          <w:lang w:val="tr-TR"/>
        </w:rPr>
        <w:t xml:space="preserve">düşünce ve ifade özgürlüğüne ilişkin 34 (2011) sayılı genel yorumunu dikkate alarak, insan hakları savunucularının ve gazetecilerin, kovuşturma ve hakaret davalarına maruz kalma korkusu olmadan mesleklerini sürdürebilmelerini sağlamalıdır </w:t>
      </w:r>
      <w:r w:rsidRPr="00D149BB">
        <w:rPr>
          <w:b/>
          <w:bCs/>
          <w:color w:val="000000"/>
          <w:lang w:val="tr-TR"/>
        </w:rPr>
        <w:t>. Taraf Devlet bunu yaparken:</w:t>
      </w:r>
    </w:p>
    <w:p w14:paraId="17BF19AE" w14:textId="77777777" w:rsidR="00332ABE" w:rsidRPr="00D149BB" w:rsidRDefault="00334889" w:rsidP="009D372B">
      <w:pPr>
        <w:pStyle w:val="SingleTxtG"/>
        <w:ind w:left="1494" w:hanging="360"/>
        <w:rPr>
          <w:b/>
          <w:bCs/>
          <w:lang w:val="tr-TR"/>
        </w:rPr>
      </w:pPr>
      <w:r w:rsidRPr="00D149BB">
        <w:rPr>
          <w:b/>
          <w:color w:val="000000"/>
          <w:lang w:val="tr-TR"/>
        </w:rPr>
        <w:tab/>
        <w:t xml:space="preserve">(a) </w:t>
      </w:r>
      <w:r w:rsidRPr="00D149BB">
        <w:rPr>
          <w:b/>
          <w:color w:val="000000"/>
          <w:lang w:val="tr-TR"/>
        </w:rPr>
        <w:tab/>
      </w:r>
      <w:r w:rsidRPr="00D149BB">
        <w:rPr>
          <w:b/>
          <w:bCs/>
          <w:color w:val="000000"/>
          <w:kern w:val="1"/>
          <w:lang w:val="tr-TR"/>
        </w:rPr>
        <w:t xml:space="preserve">Hakaretin suç olmaktan çıkarılmasının değerlendirilmesi ve </w:t>
      </w:r>
      <w:r w:rsidR="00332ABE" w:rsidRPr="00D149BB">
        <w:rPr>
          <w:lang w:val="tr-TR"/>
        </w:rPr>
        <w:t xml:space="preserve">her </w:t>
      </w:r>
      <w:r w:rsidR="00332ABE" w:rsidRPr="00D149BB">
        <w:rPr>
          <w:b/>
          <w:bCs/>
          <w:lang w:val="tr-TR"/>
        </w:rPr>
        <w:t>halükarda, hapis cezasının hiçbir zaman uygun bir ceza olmadığı dikkate alınarak, en ciddi vakalarda ceza kanununun uygulanmasının desteklenmesi gerekmektedir.</w:t>
      </w:r>
    </w:p>
    <w:p w14:paraId="1948E0C9" w14:textId="77777777" w:rsidR="00334889" w:rsidRPr="00D149BB" w:rsidRDefault="00334889" w:rsidP="00334889">
      <w:pPr>
        <w:pStyle w:val="SingleTxtG"/>
        <w:ind w:left="1494" w:hanging="360"/>
        <w:rPr>
          <w:lang w:val="tr-TR"/>
        </w:rPr>
      </w:pPr>
      <w:r w:rsidRPr="00D149BB">
        <w:rPr>
          <w:b/>
          <w:color w:val="000000"/>
          <w:lang w:val="tr-TR"/>
        </w:rPr>
        <w:tab/>
        <w:t xml:space="preserve">(b) </w:t>
      </w:r>
      <w:r w:rsidRPr="00D149BB">
        <w:rPr>
          <w:b/>
          <w:color w:val="000000"/>
          <w:lang w:val="tr-TR"/>
        </w:rPr>
        <w:tab/>
      </w:r>
      <w:r w:rsidRPr="00D149BB">
        <w:rPr>
          <w:b/>
          <w:bCs/>
          <w:color w:val="000000"/>
          <w:lang w:val="tr-TR"/>
        </w:rPr>
        <w:t xml:space="preserve">Sözleşmenin 9. ve 19. maddelerine aykırı olarak cezai kovuşturmaya ve hapis cezasına maruz kalan gazetecilere ve insan hakları savunucularına tazminat sağlamak </w:t>
      </w:r>
      <w:r w:rsidRPr="00D149BB">
        <w:rPr>
          <w:b/>
          <w:bCs/>
          <w:color w:val="000000"/>
          <w:kern w:val="1"/>
          <w:lang w:val="tr-TR"/>
        </w:rPr>
        <w:t>;</w:t>
      </w:r>
    </w:p>
    <w:p w14:paraId="1BE437D1" w14:textId="77777777" w:rsidR="00334889" w:rsidRPr="00D149BB" w:rsidRDefault="00334889" w:rsidP="009D372B">
      <w:pPr>
        <w:pStyle w:val="SingleTxtG"/>
        <w:ind w:left="1494" w:hanging="360"/>
        <w:rPr>
          <w:lang w:val="tr-TR"/>
        </w:rPr>
      </w:pPr>
      <w:r w:rsidRPr="00D149BB">
        <w:rPr>
          <w:b/>
          <w:color w:val="000000"/>
          <w:lang w:val="tr-TR"/>
        </w:rPr>
        <w:tab/>
        <w:t xml:space="preserve">(c) </w:t>
      </w:r>
      <w:r w:rsidRPr="00D149BB">
        <w:rPr>
          <w:b/>
          <w:color w:val="000000"/>
          <w:lang w:val="tr-TR"/>
        </w:rPr>
        <w:tab/>
      </w:r>
      <w:r w:rsidRPr="00D149BB">
        <w:rPr>
          <w:b/>
          <w:bCs/>
          <w:color w:val="000000"/>
          <w:lang w:val="tr-TR"/>
        </w:rPr>
        <w:t>Ceza Kanununun ilgili hükümlerini Sözleşmenin 19. maddesiyle uyumlu hale getirecek ve her türlü kısıtlamayı bu hükmün katı koşulları dahilinde uygulayacaktır.</w:t>
      </w:r>
    </w:p>
    <w:p w14:paraId="1D3E1AA1" w14:textId="77777777" w:rsidR="00334889" w:rsidRPr="00D149BB" w:rsidRDefault="00391453" w:rsidP="00334889">
      <w:pPr>
        <w:pStyle w:val="SingleTxtG"/>
        <w:rPr>
          <w:lang w:val="tr-TR"/>
        </w:rPr>
      </w:pPr>
      <w:r w:rsidRPr="00D149BB">
        <w:rPr>
          <w:rStyle w:val="SingleTxtGChar"/>
          <w:rFonts w:eastAsia="SimSun"/>
          <w:lang w:val="tr-TR"/>
        </w:rPr>
        <w:t xml:space="preserve">25. </w:t>
      </w:r>
      <w:r w:rsidR="00334889" w:rsidRPr="00D149BB">
        <w:rPr>
          <w:rStyle w:val="SingleTxtGChar"/>
          <w:rFonts w:eastAsia="SimSun"/>
          <w:lang w:val="tr-TR"/>
        </w:rPr>
        <w:tab/>
        <w:t xml:space="preserve">Taraf Devlet, Sözleşme'yi, Sözleşme'nin iki İhtiyari Protokolünü, </w:t>
      </w:r>
      <w:r w:rsidR="00CB6E0C" w:rsidRPr="00D149BB">
        <w:rPr>
          <w:rStyle w:val="SingleTxtGChar"/>
          <w:rFonts w:eastAsia="SimSun"/>
          <w:lang w:val="tr-TR"/>
        </w:rPr>
        <w:t>ilk raporun metnini, raporda verilen yazılı yanıtları geniş çapta yaymalıdır.</w:t>
      </w:r>
      <w:r w:rsidR="00334889" w:rsidRPr="00D149BB">
        <w:rPr>
          <w:rStyle w:val="SingleTxtGChar"/>
          <w:lang w:val="tr-TR"/>
        </w:rPr>
        <w:t xml:space="preserve"> </w:t>
      </w:r>
      <w:r w:rsidR="00334889" w:rsidRPr="00D149BB">
        <w:rPr>
          <w:rStyle w:val="SingleTxtGChar"/>
          <w:rFonts w:eastAsia="SimSun"/>
          <w:lang w:val="tr-TR"/>
        </w:rPr>
        <w:t>Komite tarafından hazırlanan sorun listesine yanıt ve mevcut sonuç</w:t>
      </w:r>
      <w:r w:rsidR="00334889" w:rsidRPr="00D149BB">
        <w:rPr>
          <w:rStyle w:val="SingleTxtGChar"/>
          <w:lang w:val="tr-TR"/>
        </w:rPr>
        <w:t xml:space="preserve"> </w:t>
      </w:r>
      <w:r w:rsidR="00334889" w:rsidRPr="00D149BB">
        <w:rPr>
          <w:rStyle w:val="SingleTxtGChar"/>
          <w:rFonts w:eastAsia="SimSun"/>
          <w:lang w:val="tr-TR"/>
        </w:rPr>
        <w:t>yargı, yasama ve idari kesimlerde farkındalığın arttırılması amacıyla gözlemler</w:t>
      </w:r>
      <w:r w:rsidR="00334889" w:rsidRPr="00D149BB">
        <w:rPr>
          <w:rStyle w:val="SingleTxtGChar"/>
          <w:lang w:val="tr-TR"/>
        </w:rPr>
        <w:t xml:space="preserve"> </w:t>
      </w:r>
      <w:r w:rsidR="00334889" w:rsidRPr="00D149BB">
        <w:rPr>
          <w:rStyle w:val="SingleTxtGChar"/>
          <w:rFonts w:eastAsia="SimSun"/>
          <w:lang w:val="tr-TR"/>
        </w:rPr>
        <w:t>Ülkede faaliyet gösteren yetkililer, sivil toplum ve sivil toplum kuruluşları</w:t>
      </w:r>
      <w:r w:rsidR="00334889" w:rsidRPr="00D149BB">
        <w:rPr>
          <w:rStyle w:val="SingleTxtGChar"/>
          <w:lang w:val="tr-TR"/>
        </w:rPr>
        <w:t xml:space="preserve"> </w:t>
      </w:r>
      <w:r w:rsidR="00334889" w:rsidRPr="00D149BB">
        <w:rPr>
          <w:rStyle w:val="SingleTxtGChar"/>
          <w:rFonts w:eastAsia="SimSun"/>
          <w:lang w:val="tr-TR"/>
        </w:rPr>
        <w:t>aynı zamanda genel kamuoyu. Komite ayrıca raporun ve sonuç kısmının</w:t>
      </w:r>
      <w:r w:rsidR="00334889" w:rsidRPr="00D149BB">
        <w:rPr>
          <w:rStyle w:val="SingleTxtGChar"/>
          <w:lang w:val="tr-TR"/>
        </w:rPr>
        <w:t xml:space="preserve"> </w:t>
      </w:r>
      <w:r w:rsidR="00334889" w:rsidRPr="00D149BB">
        <w:rPr>
          <w:rStyle w:val="SingleTxtGChar"/>
          <w:rFonts w:eastAsia="SimSun"/>
          <w:lang w:val="tr-TR"/>
        </w:rPr>
        <w:t xml:space="preserve">gözlemler Taraf Devletin resmi diline tercüme edilecektir. </w:t>
      </w:r>
      <w:r w:rsidR="00334889" w:rsidRPr="00D149BB">
        <w:rPr>
          <w:rStyle w:val="SingleTxtGChar"/>
          <w:lang w:val="tr-TR"/>
        </w:rPr>
        <w:t xml:space="preserve">Komite ayrıca Taraf Devletten ikinci periyodik raporunu hazırlarken sivil toplum ve </w:t>
      </w:r>
      <w:r w:rsidR="00334889" w:rsidRPr="00D149BB">
        <w:rPr>
          <w:lang w:val="tr-TR"/>
        </w:rPr>
        <w:t>sivil toplum kuruluşlarıyla geniş anlamda istişarede bulunmasını talep etmektedir.</w:t>
      </w:r>
    </w:p>
    <w:p w14:paraId="729053D3" w14:textId="77777777" w:rsidR="00334889" w:rsidRPr="00D149BB" w:rsidRDefault="00391453" w:rsidP="00334889">
      <w:pPr>
        <w:pStyle w:val="SingleTxtG"/>
        <w:rPr>
          <w:lang w:val="tr-TR"/>
        </w:rPr>
      </w:pPr>
      <w:r w:rsidRPr="00D149BB">
        <w:rPr>
          <w:lang w:val="tr-TR"/>
        </w:rPr>
        <w:lastRenderedPageBreak/>
        <w:t xml:space="preserve">26. </w:t>
      </w:r>
      <w:r w:rsidR="00334889" w:rsidRPr="00D149BB">
        <w:rPr>
          <w:lang w:val="tr-TR"/>
        </w:rPr>
        <w:tab/>
        <w:t xml:space="preserve">Komite prosedür kurallarının 71. kuralının 5. paragrafına uygun olarak, taraf Devlet, </w:t>
      </w:r>
      <w:r w:rsidR="00334889" w:rsidRPr="00D149BB">
        <w:rPr>
          <w:bCs/>
          <w:lang w:val="tr-TR"/>
        </w:rPr>
        <w:t xml:space="preserve">Komite'nin 10, 13 ve 23. paragraflarda </w:t>
      </w:r>
      <w:r w:rsidR="00334889" w:rsidRPr="00D149BB">
        <w:rPr>
          <w:lang w:val="tr-TR"/>
        </w:rPr>
        <w:t>yer alan tavsiyelerinin uygulanmasına ilişkin bilgileri bir yıl içinde sağlamalıdır.</w:t>
      </w:r>
      <w:r w:rsidR="00334889" w:rsidRPr="00D149BB">
        <w:rPr>
          <w:b/>
          <w:lang w:val="tr-TR"/>
        </w:rPr>
        <w:t xml:space="preserve"> </w:t>
      </w:r>
      <w:r w:rsidR="00334889" w:rsidRPr="00D149BB">
        <w:rPr>
          <w:lang w:val="tr-TR"/>
        </w:rPr>
        <w:t>üstünde.</w:t>
      </w:r>
    </w:p>
    <w:p w14:paraId="25ECAE7B" w14:textId="77777777" w:rsidR="00334889" w:rsidRPr="00D149BB" w:rsidRDefault="00391453" w:rsidP="00334889">
      <w:pPr>
        <w:pStyle w:val="SingleTxtG"/>
        <w:rPr>
          <w:lang w:val="tr-TR"/>
        </w:rPr>
      </w:pPr>
      <w:r w:rsidRPr="00D149BB">
        <w:rPr>
          <w:lang w:val="tr-TR"/>
        </w:rPr>
        <w:t xml:space="preserve">27. </w:t>
      </w:r>
      <w:r w:rsidR="00334889" w:rsidRPr="00D149BB">
        <w:rPr>
          <w:lang w:val="tr-TR"/>
        </w:rPr>
        <w:tab/>
        <w:t xml:space="preserve">Komite, Taraf Devlet'ten 31 Ekim 2016'da sunacağı bir sonraki periyodik raporunda </w:t>
      </w:r>
      <w:r w:rsidR="00414969" w:rsidRPr="00D149BB">
        <w:rPr>
          <w:lang w:val="tr-TR"/>
        </w:rPr>
        <w:t>, tüm tavsiyeleri ve bir bütün olarak Sözleşme hakkında spesifik, güncel bilgiler sunmasını talep etmektedir.</w:t>
      </w:r>
    </w:p>
    <w:p w14:paraId="03EE5CA9" w14:textId="77777777" w:rsidR="00334889" w:rsidRPr="00D149BB" w:rsidRDefault="00334889" w:rsidP="00334889">
      <w:pPr>
        <w:pStyle w:val="SingleTxtG"/>
        <w:spacing w:before="240" w:after="0"/>
        <w:jc w:val="center"/>
        <w:rPr>
          <w:snapToGrid w:val="0"/>
          <w:u w:val="single"/>
          <w:lang w:val="tr-TR"/>
        </w:rPr>
      </w:pPr>
      <w:r w:rsidRPr="00D149BB">
        <w:rPr>
          <w:u w:val="single"/>
          <w:lang w:val="tr-TR"/>
        </w:rPr>
        <w:tab/>
      </w:r>
      <w:r w:rsidRPr="00D149BB">
        <w:rPr>
          <w:u w:val="single"/>
          <w:lang w:val="tr-TR"/>
        </w:rPr>
        <w:tab/>
      </w:r>
      <w:r w:rsidRPr="00D149BB">
        <w:rPr>
          <w:u w:val="single"/>
          <w:lang w:val="tr-TR"/>
        </w:rPr>
        <w:tab/>
      </w:r>
    </w:p>
    <w:sectPr w:rsidR="00334889" w:rsidRPr="00D149BB" w:rsidSect="00A7151A">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AC6F" w14:textId="77777777" w:rsidR="00A7151A" w:rsidRDefault="00A7151A"/>
  </w:endnote>
  <w:endnote w:type="continuationSeparator" w:id="0">
    <w:p w14:paraId="3837D288" w14:textId="77777777" w:rsidR="00A7151A" w:rsidRDefault="00A7151A"/>
  </w:endnote>
  <w:endnote w:type="continuationNotice" w:id="1">
    <w:p w14:paraId="696A3A5B" w14:textId="77777777" w:rsidR="00A7151A" w:rsidRDefault="00A7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D221" w14:textId="77777777" w:rsidR="0095343F" w:rsidRPr="00032EC7" w:rsidRDefault="0095343F" w:rsidP="00032EC7">
    <w:pPr>
      <w:pStyle w:val="Footer"/>
      <w:tabs>
        <w:tab w:val="right" w:pos="9638"/>
      </w:tabs>
    </w:pPr>
    <w:r w:rsidRPr="00032EC7">
      <w:rPr>
        <w:b/>
        <w:sz w:val="18"/>
      </w:rPr>
      <w:fldChar w:fldCharType="begin"/>
    </w:r>
    <w:r w:rsidRPr="00032EC7">
      <w:rPr>
        <w:b/>
        <w:sz w:val="18"/>
      </w:rPr>
      <w:instrText xml:space="preserve"> PAGE  \* MERGEFORMAT </w:instrText>
    </w:r>
    <w:r w:rsidRPr="00032EC7">
      <w:rPr>
        <w:b/>
        <w:sz w:val="18"/>
      </w:rPr>
      <w:fldChar w:fldCharType="separate"/>
    </w:r>
    <w:r w:rsidR="001E5202">
      <w:rPr>
        <w:b/>
        <w:noProof/>
        <w:sz w:val="18"/>
      </w:rPr>
      <w:t>6</w:t>
    </w:r>
    <w:r w:rsidRPr="00032EC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ECF9" w14:textId="77777777" w:rsidR="0095343F" w:rsidRPr="00032EC7" w:rsidRDefault="0095343F" w:rsidP="00032EC7">
    <w:pPr>
      <w:pStyle w:val="Footer"/>
      <w:tabs>
        <w:tab w:val="right" w:pos="9638"/>
      </w:tabs>
      <w:rPr>
        <w:b/>
        <w:sz w:val="18"/>
      </w:rPr>
    </w:pPr>
    <w:r>
      <w:tab/>
    </w:r>
    <w:r w:rsidRPr="00032EC7">
      <w:rPr>
        <w:b/>
        <w:sz w:val="18"/>
      </w:rPr>
      <w:fldChar w:fldCharType="begin"/>
    </w:r>
    <w:r w:rsidRPr="00032EC7">
      <w:rPr>
        <w:b/>
        <w:sz w:val="18"/>
      </w:rPr>
      <w:instrText xml:space="preserve"> PAGE  \* MERGEFORMAT </w:instrText>
    </w:r>
    <w:r w:rsidRPr="00032EC7">
      <w:rPr>
        <w:b/>
        <w:sz w:val="18"/>
      </w:rPr>
      <w:fldChar w:fldCharType="separate"/>
    </w:r>
    <w:r w:rsidR="001E5202">
      <w:rPr>
        <w:b/>
        <w:noProof/>
        <w:sz w:val="18"/>
      </w:rPr>
      <w:t>7</w:t>
    </w:r>
    <w:r w:rsidRPr="00032EC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3534" w14:textId="77777777" w:rsidR="0095343F" w:rsidRPr="00032EC7" w:rsidRDefault="00D149BB">
    <w:r>
      <w:rPr>
        <w:noProof/>
        <w:lang w:val="en-US"/>
      </w:rPr>
      <w:drawing>
        <wp:anchor distT="0" distB="0" distL="114300" distR="114300" simplePos="0" relativeHeight="251657728" behindDoc="0" locked="1" layoutInCell="1" allowOverlap="1" wp14:anchorId="088A2A51" wp14:editId="3786177B">
          <wp:simplePos x="0" y="0"/>
          <wp:positionH relativeFrom="column">
            <wp:posOffset>5148580</wp:posOffset>
          </wp:positionH>
          <wp:positionV relativeFrom="paragraph">
            <wp:posOffset>-79375</wp:posOffset>
          </wp:positionV>
          <wp:extent cx="930275" cy="23050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95343F">
      <w:t>GE.12-47598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8737" w14:textId="77777777" w:rsidR="00A7151A" w:rsidRPr="000B175B" w:rsidRDefault="00A7151A" w:rsidP="000B175B">
      <w:pPr>
        <w:tabs>
          <w:tab w:val="right" w:pos="2155"/>
        </w:tabs>
        <w:spacing w:after="80"/>
        <w:ind w:left="680"/>
        <w:rPr>
          <w:u w:val="single"/>
        </w:rPr>
      </w:pPr>
      <w:r>
        <w:rPr>
          <w:u w:val="single"/>
        </w:rPr>
        <w:tab/>
      </w:r>
    </w:p>
  </w:footnote>
  <w:footnote w:type="continuationSeparator" w:id="0">
    <w:p w14:paraId="127A4B8B" w14:textId="77777777" w:rsidR="00A7151A" w:rsidRPr="00FC68B7" w:rsidRDefault="00A7151A" w:rsidP="00FC68B7">
      <w:pPr>
        <w:tabs>
          <w:tab w:val="left" w:pos="2155"/>
        </w:tabs>
        <w:spacing w:after="80"/>
        <w:ind w:left="680"/>
        <w:rPr>
          <w:u w:val="single"/>
        </w:rPr>
      </w:pPr>
      <w:r>
        <w:rPr>
          <w:u w:val="single"/>
        </w:rPr>
        <w:tab/>
      </w:r>
    </w:p>
  </w:footnote>
  <w:footnote w:type="continuationNotice" w:id="1">
    <w:p w14:paraId="32076209" w14:textId="77777777" w:rsidR="00A7151A" w:rsidRDefault="00A71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FD8F" w14:textId="77777777" w:rsidR="0095343F" w:rsidRPr="00032EC7" w:rsidRDefault="0095343F">
    <w:pPr>
      <w:pStyle w:val="Header"/>
    </w:pPr>
    <w:r>
      <w:t>CCPR/C/TUR/CO/1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A407" w14:textId="77777777" w:rsidR="0095343F" w:rsidRPr="00032EC7" w:rsidRDefault="0095343F" w:rsidP="00032EC7">
    <w:pPr>
      <w:pStyle w:val="Header"/>
      <w:jc w:val="right"/>
    </w:pPr>
    <w:r>
      <w:t>CCPR/C/TUR/CO/1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FD359C"/>
    <w:multiLevelType w:val="hybridMultilevel"/>
    <w:tmpl w:val="FD6A8CA2"/>
    <w:lvl w:ilvl="0" w:tplc="ED661E54">
      <w:start w:val="1"/>
      <w:numFmt w:val="lowerLetter"/>
      <w:lvlText w:val="(%1)"/>
      <w:lvlJc w:val="left"/>
      <w:pPr>
        <w:ind w:left="1494" w:hanging="360"/>
      </w:pPr>
      <w:rPr>
        <w:rFonts w:hint="default"/>
        <w:b/>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04965166">
    <w:abstractNumId w:val="0"/>
  </w:num>
  <w:num w:numId="2" w16cid:durableId="1869441485">
    <w:abstractNumId w:val="2"/>
  </w:num>
  <w:num w:numId="3" w16cid:durableId="21235297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C7"/>
    <w:rsid w:val="000272B3"/>
    <w:rsid w:val="00032EC7"/>
    <w:rsid w:val="00050F6B"/>
    <w:rsid w:val="00051167"/>
    <w:rsid w:val="00055FF9"/>
    <w:rsid w:val="00056BFD"/>
    <w:rsid w:val="00057E97"/>
    <w:rsid w:val="00060C3A"/>
    <w:rsid w:val="00072C8C"/>
    <w:rsid w:val="000733B5"/>
    <w:rsid w:val="00081815"/>
    <w:rsid w:val="00083D20"/>
    <w:rsid w:val="000931C0"/>
    <w:rsid w:val="000B175B"/>
    <w:rsid w:val="000B3A0F"/>
    <w:rsid w:val="000B4EF7"/>
    <w:rsid w:val="000C2C03"/>
    <w:rsid w:val="000C2D2E"/>
    <w:rsid w:val="000E0415"/>
    <w:rsid w:val="000E401C"/>
    <w:rsid w:val="001103AA"/>
    <w:rsid w:val="00131C6A"/>
    <w:rsid w:val="00165F3A"/>
    <w:rsid w:val="001675FE"/>
    <w:rsid w:val="00167AD9"/>
    <w:rsid w:val="0017333C"/>
    <w:rsid w:val="00183968"/>
    <w:rsid w:val="001A6686"/>
    <w:rsid w:val="001B4B04"/>
    <w:rsid w:val="001C5501"/>
    <w:rsid w:val="001C6663"/>
    <w:rsid w:val="001C7895"/>
    <w:rsid w:val="001D0C8C"/>
    <w:rsid w:val="001D26DF"/>
    <w:rsid w:val="001D3A03"/>
    <w:rsid w:val="001E5202"/>
    <w:rsid w:val="001E644F"/>
    <w:rsid w:val="001E6B75"/>
    <w:rsid w:val="001F4577"/>
    <w:rsid w:val="00202DA8"/>
    <w:rsid w:val="00211E0B"/>
    <w:rsid w:val="0023210C"/>
    <w:rsid w:val="002410E4"/>
    <w:rsid w:val="00267192"/>
    <w:rsid w:val="00267F5F"/>
    <w:rsid w:val="00286B4D"/>
    <w:rsid w:val="002A663E"/>
    <w:rsid w:val="002D48AF"/>
    <w:rsid w:val="002F175C"/>
    <w:rsid w:val="003229D8"/>
    <w:rsid w:val="003258A1"/>
    <w:rsid w:val="00332ABE"/>
    <w:rsid w:val="00334889"/>
    <w:rsid w:val="00343F86"/>
    <w:rsid w:val="00352709"/>
    <w:rsid w:val="00367567"/>
    <w:rsid w:val="00371178"/>
    <w:rsid w:val="0038336C"/>
    <w:rsid w:val="00391453"/>
    <w:rsid w:val="003A6810"/>
    <w:rsid w:val="003C2CC4"/>
    <w:rsid w:val="003D4B23"/>
    <w:rsid w:val="003F7419"/>
    <w:rsid w:val="00410C89"/>
    <w:rsid w:val="00414969"/>
    <w:rsid w:val="0042384F"/>
    <w:rsid w:val="00426B9B"/>
    <w:rsid w:val="004325CB"/>
    <w:rsid w:val="00433047"/>
    <w:rsid w:val="00436B33"/>
    <w:rsid w:val="00442A83"/>
    <w:rsid w:val="00446536"/>
    <w:rsid w:val="00453213"/>
    <w:rsid w:val="0045495B"/>
    <w:rsid w:val="00457719"/>
    <w:rsid w:val="004731F0"/>
    <w:rsid w:val="00487488"/>
    <w:rsid w:val="00490EE2"/>
    <w:rsid w:val="00507E58"/>
    <w:rsid w:val="0052136D"/>
    <w:rsid w:val="0052775E"/>
    <w:rsid w:val="005420F2"/>
    <w:rsid w:val="005628B6"/>
    <w:rsid w:val="005848B3"/>
    <w:rsid w:val="00590F87"/>
    <w:rsid w:val="00592C4A"/>
    <w:rsid w:val="005B3DB3"/>
    <w:rsid w:val="005B55D2"/>
    <w:rsid w:val="005C46F6"/>
    <w:rsid w:val="005F7717"/>
    <w:rsid w:val="005F7B75"/>
    <w:rsid w:val="006001EE"/>
    <w:rsid w:val="00605042"/>
    <w:rsid w:val="00611FC4"/>
    <w:rsid w:val="006176FB"/>
    <w:rsid w:val="00640B26"/>
    <w:rsid w:val="006424D0"/>
    <w:rsid w:val="00645365"/>
    <w:rsid w:val="00652D0A"/>
    <w:rsid w:val="00662BB6"/>
    <w:rsid w:val="0067628F"/>
    <w:rsid w:val="00684C21"/>
    <w:rsid w:val="006A0EA3"/>
    <w:rsid w:val="006C31E5"/>
    <w:rsid w:val="006D1AEC"/>
    <w:rsid w:val="006D37AF"/>
    <w:rsid w:val="006D51D0"/>
    <w:rsid w:val="006E564B"/>
    <w:rsid w:val="006E7191"/>
    <w:rsid w:val="00702986"/>
    <w:rsid w:val="00703577"/>
    <w:rsid w:val="0072632A"/>
    <w:rsid w:val="007327D5"/>
    <w:rsid w:val="00754425"/>
    <w:rsid w:val="007629C8"/>
    <w:rsid w:val="00773483"/>
    <w:rsid w:val="007B6BA5"/>
    <w:rsid w:val="007C282E"/>
    <w:rsid w:val="007C3390"/>
    <w:rsid w:val="007C4F4B"/>
    <w:rsid w:val="007C784F"/>
    <w:rsid w:val="007E0B2D"/>
    <w:rsid w:val="007F6611"/>
    <w:rsid w:val="008105B8"/>
    <w:rsid w:val="008242D7"/>
    <w:rsid w:val="008257B1"/>
    <w:rsid w:val="00843767"/>
    <w:rsid w:val="008679D9"/>
    <w:rsid w:val="008979B1"/>
    <w:rsid w:val="008A1DB2"/>
    <w:rsid w:val="008A6B25"/>
    <w:rsid w:val="008A6C4F"/>
    <w:rsid w:val="008B2335"/>
    <w:rsid w:val="008E0678"/>
    <w:rsid w:val="008F1ECA"/>
    <w:rsid w:val="00910F40"/>
    <w:rsid w:val="00912C08"/>
    <w:rsid w:val="00915CFD"/>
    <w:rsid w:val="009223CA"/>
    <w:rsid w:val="00924F52"/>
    <w:rsid w:val="009252E8"/>
    <w:rsid w:val="00932776"/>
    <w:rsid w:val="00940F93"/>
    <w:rsid w:val="00952838"/>
    <w:rsid w:val="0095343F"/>
    <w:rsid w:val="0095347F"/>
    <w:rsid w:val="009760F3"/>
    <w:rsid w:val="0098349F"/>
    <w:rsid w:val="009909F5"/>
    <w:rsid w:val="00997869"/>
    <w:rsid w:val="009A0E8D"/>
    <w:rsid w:val="009B26E7"/>
    <w:rsid w:val="009D372B"/>
    <w:rsid w:val="00A00A3F"/>
    <w:rsid w:val="00A01489"/>
    <w:rsid w:val="00A0713D"/>
    <w:rsid w:val="00A17ECB"/>
    <w:rsid w:val="00A338F1"/>
    <w:rsid w:val="00A44615"/>
    <w:rsid w:val="00A63B79"/>
    <w:rsid w:val="00A7151A"/>
    <w:rsid w:val="00A72F22"/>
    <w:rsid w:val="00A7360F"/>
    <w:rsid w:val="00A748A6"/>
    <w:rsid w:val="00A769F4"/>
    <w:rsid w:val="00A776B4"/>
    <w:rsid w:val="00A94361"/>
    <w:rsid w:val="00AA293C"/>
    <w:rsid w:val="00B13E9B"/>
    <w:rsid w:val="00B30179"/>
    <w:rsid w:val="00B339A7"/>
    <w:rsid w:val="00B55232"/>
    <w:rsid w:val="00B56E4A"/>
    <w:rsid w:val="00B56E9C"/>
    <w:rsid w:val="00B64B1F"/>
    <w:rsid w:val="00B6553F"/>
    <w:rsid w:val="00B66E5E"/>
    <w:rsid w:val="00B76EE9"/>
    <w:rsid w:val="00B77D05"/>
    <w:rsid w:val="00B81206"/>
    <w:rsid w:val="00B81E12"/>
    <w:rsid w:val="00B9067B"/>
    <w:rsid w:val="00BC2C23"/>
    <w:rsid w:val="00BC74E9"/>
    <w:rsid w:val="00BD177A"/>
    <w:rsid w:val="00BF5909"/>
    <w:rsid w:val="00BF68A8"/>
    <w:rsid w:val="00C11A03"/>
    <w:rsid w:val="00C434F0"/>
    <w:rsid w:val="00C463DD"/>
    <w:rsid w:val="00C4724C"/>
    <w:rsid w:val="00C629A0"/>
    <w:rsid w:val="00C63323"/>
    <w:rsid w:val="00C745C3"/>
    <w:rsid w:val="00C959E4"/>
    <w:rsid w:val="00CB6E0C"/>
    <w:rsid w:val="00CE4A8F"/>
    <w:rsid w:val="00D149BB"/>
    <w:rsid w:val="00D2031B"/>
    <w:rsid w:val="00D25FE2"/>
    <w:rsid w:val="00D43252"/>
    <w:rsid w:val="00D47EEA"/>
    <w:rsid w:val="00D507C4"/>
    <w:rsid w:val="00D62257"/>
    <w:rsid w:val="00D95303"/>
    <w:rsid w:val="00D978C6"/>
    <w:rsid w:val="00DA3111"/>
    <w:rsid w:val="00DA3C1C"/>
    <w:rsid w:val="00DB0C79"/>
    <w:rsid w:val="00DC6730"/>
    <w:rsid w:val="00E034C0"/>
    <w:rsid w:val="00E27346"/>
    <w:rsid w:val="00E4109B"/>
    <w:rsid w:val="00E44823"/>
    <w:rsid w:val="00E71BC8"/>
    <w:rsid w:val="00E7260F"/>
    <w:rsid w:val="00E779FC"/>
    <w:rsid w:val="00E87B5D"/>
    <w:rsid w:val="00E96630"/>
    <w:rsid w:val="00EB2581"/>
    <w:rsid w:val="00ED7A2A"/>
    <w:rsid w:val="00EF1D7F"/>
    <w:rsid w:val="00F16B25"/>
    <w:rsid w:val="00F20C3D"/>
    <w:rsid w:val="00F40F62"/>
    <w:rsid w:val="00F43E9E"/>
    <w:rsid w:val="00F4412E"/>
    <w:rsid w:val="00F83AFD"/>
    <w:rsid w:val="00F9057C"/>
    <w:rsid w:val="00F906D7"/>
    <w:rsid w:val="00F9137E"/>
    <w:rsid w:val="00F93781"/>
    <w:rsid w:val="00FB613B"/>
    <w:rsid w:val="00FB7128"/>
    <w:rsid w:val="00FC68B7"/>
    <w:rsid w:val="00FE106A"/>
    <w:rsid w:val="00FF64AD"/>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C952"/>
  <w15:docId w15:val="{EC5E49D3-6D1E-EC42-ABFA-137E2D77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link w:val="H1GChar"/>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334889"/>
    <w:rPr>
      <w:lang w:val="tr" w:eastAsia="en-US"/>
    </w:rPr>
  </w:style>
  <w:style w:type="character" w:customStyle="1" w:styleId="H1GChar">
    <w:name w:val="_ H_1_G Char"/>
    <w:link w:val="H1G"/>
    <w:locked/>
    <w:rsid w:val="00334889"/>
    <w:rPr>
      <w:b/>
      <w:sz w:val="24"/>
      <w:lang w:val="tr" w:eastAsia="en-US"/>
    </w:rPr>
  </w:style>
  <w:style w:type="paragraph" w:styleId="BalloonText">
    <w:name w:val="Balloon Text"/>
    <w:basedOn w:val="Normal"/>
    <w:link w:val="BalloonTextChar"/>
    <w:rsid w:val="00A17ECB"/>
    <w:pPr>
      <w:spacing w:line="240" w:lineRule="auto"/>
    </w:pPr>
    <w:rPr>
      <w:rFonts w:ascii="Tahoma" w:hAnsi="Tahoma" w:cs="Tahoma"/>
      <w:sz w:val="16"/>
      <w:szCs w:val="16"/>
    </w:rPr>
  </w:style>
  <w:style w:type="character" w:customStyle="1" w:styleId="BalloonTextChar">
    <w:name w:val="Balloon Text Char"/>
    <w:link w:val="BalloonText"/>
    <w:rsid w:val="00A17ECB"/>
    <w:rPr>
      <w:rFonts w:ascii="Tahoma" w:hAnsi="Tahoma" w:cs="Tahoma"/>
      <w:sz w:val="16"/>
      <w:szCs w:val="16"/>
      <w:lang w:val="tr" w:eastAsia="en-US"/>
    </w:rPr>
  </w:style>
  <w:style w:type="character" w:customStyle="1" w:styleId="st1">
    <w:name w:val="st1"/>
    <w:basedOn w:val="DefaultParagraphFont"/>
    <w:rsid w:val="000E401C"/>
  </w:style>
  <w:style w:type="character" w:styleId="Strong">
    <w:name w:val="Strong"/>
    <w:qFormat/>
    <w:rsid w:val="008F1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D:\UN Docs 2010\CCPR_E.dotm</Template>
  <TotalTime>5</TotalTime>
  <Pages>7</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Thodiyil Sindu</dc:creator>
  <cp:keywords/>
  <cp:lastModifiedBy>Adem Arkadaş-Thibert</cp:lastModifiedBy>
  <cp:revision>3</cp:revision>
  <cp:lastPrinted>2012-11-13T07:25:00Z</cp:lastPrinted>
  <dcterms:created xsi:type="dcterms:W3CDTF">2024-04-29T04:45:00Z</dcterms:created>
  <dcterms:modified xsi:type="dcterms:W3CDTF">2024-04-29T04:47:00Z</dcterms:modified>
</cp:coreProperties>
</file>