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y</w:t>
      </w:r>
      <w:r w:rsidDel="00000000" w:rsidR="00000000" w:rsidRPr="00000000">
        <w:rPr>
          <w:rtl w:val="0"/>
        </w:rPr>
      </w:r>
    </w:p>
    <w:tbl>
      <w:tblPr>
        <w:tblStyle w:val="Table1"/>
        <w:tblW w:w="129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42"/>
        <w:gridCol w:w="3606"/>
        <w:gridCol w:w="2462"/>
        <w:gridCol w:w="2443"/>
        <w:gridCol w:w="2397"/>
        <w:tblGridChange w:id="0">
          <w:tblGrid>
            <w:gridCol w:w="2042"/>
            <w:gridCol w:w="3606"/>
            <w:gridCol w:w="2462"/>
            <w:gridCol w:w="2443"/>
            <w:gridCol w:w="2397"/>
          </w:tblGrid>
        </w:tblGridChange>
      </w:tblGrid>
      <w:tr>
        <w:trPr>
          <w:cantSplit w:val="0"/>
          <w:tblHeader w:val="1"/>
        </w:trPr>
        <w:tc>
          <w:tcPr>
            <w:shd w:fill="073763" w:val="clear"/>
          </w:tcPr>
          <w:p w:rsidR="00000000" w:rsidDel="00000000" w:rsidP="00000000" w:rsidRDefault="00000000" w:rsidRPr="00000000" w14:paraId="00000002">
            <w:pPr>
              <w:rPr/>
            </w:pPr>
            <w:r w:rsidDel="00000000" w:rsidR="00000000" w:rsidRPr="00000000">
              <w:rPr>
                <w:rtl w:val="0"/>
              </w:rPr>
            </w:r>
          </w:p>
        </w:tc>
        <w:tc>
          <w:tcPr>
            <w:shd w:fill="073763" w:val="clear"/>
          </w:tcPr>
          <w:p w:rsidR="00000000" w:rsidDel="00000000" w:rsidP="00000000" w:rsidRDefault="00000000" w:rsidRPr="00000000" w14:paraId="00000003">
            <w:pPr>
              <w:rPr>
                <w:b w:val="1"/>
                <w:color w:val="ffffff"/>
                <w:sz w:val="26"/>
                <w:szCs w:val="26"/>
              </w:rPr>
            </w:pPr>
            <w:r w:rsidDel="00000000" w:rsidR="00000000" w:rsidRPr="00000000">
              <w:rPr>
                <w:b w:val="1"/>
                <w:color w:val="ffffff"/>
                <w:sz w:val="26"/>
                <w:szCs w:val="26"/>
                <w:rtl w:val="0"/>
              </w:rPr>
              <w:t xml:space="preserve">BM Sözleşme Organları (UNTB)</w:t>
            </w:r>
          </w:p>
        </w:tc>
        <w:tc>
          <w:tcPr>
            <w:shd w:fill="073763" w:val="clear"/>
          </w:tcPr>
          <w:p w:rsidR="00000000" w:rsidDel="00000000" w:rsidP="00000000" w:rsidRDefault="00000000" w:rsidRPr="00000000" w14:paraId="00000004">
            <w:pPr>
              <w:rPr>
                <w:b w:val="1"/>
                <w:color w:val="ffffff"/>
                <w:sz w:val="26"/>
                <w:szCs w:val="26"/>
              </w:rPr>
            </w:pPr>
            <w:r w:rsidDel="00000000" w:rsidR="00000000" w:rsidRPr="00000000">
              <w:rPr>
                <w:b w:val="1"/>
                <w:color w:val="ffffff"/>
                <w:sz w:val="26"/>
                <w:szCs w:val="26"/>
                <w:rtl w:val="0"/>
              </w:rPr>
              <w:t xml:space="preserve">BM Özel Usuller / Prosedürler (UNSP)</w:t>
            </w:r>
          </w:p>
        </w:tc>
        <w:tc>
          <w:tcPr>
            <w:shd w:fill="073763" w:val="clear"/>
          </w:tcPr>
          <w:p w:rsidR="00000000" w:rsidDel="00000000" w:rsidP="00000000" w:rsidRDefault="00000000" w:rsidRPr="00000000" w14:paraId="00000005">
            <w:pPr>
              <w:rPr>
                <w:b w:val="1"/>
                <w:color w:val="ffffff"/>
                <w:sz w:val="26"/>
                <w:szCs w:val="26"/>
              </w:rPr>
            </w:pPr>
            <w:r w:rsidDel="00000000" w:rsidR="00000000" w:rsidRPr="00000000">
              <w:rPr>
                <w:b w:val="1"/>
                <w:color w:val="ffffff"/>
                <w:sz w:val="26"/>
                <w:szCs w:val="26"/>
                <w:rtl w:val="0"/>
              </w:rPr>
              <w:t xml:space="preserve">İnsan Hakları Konseyi (HRC)</w:t>
            </w:r>
          </w:p>
        </w:tc>
        <w:tc>
          <w:tcPr>
            <w:shd w:fill="073763" w:val="clear"/>
          </w:tcPr>
          <w:p w:rsidR="00000000" w:rsidDel="00000000" w:rsidP="00000000" w:rsidRDefault="00000000" w:rsidRPr="00000000" w14:paraId="00000006">
            <w:pPr>
              <w:rPr>
                <w:b w:val="1"/>
                <w:color w:val="ffffff"/>
                <w:sz w:val="26"/>
                <w:szCs w:val="26"/>
              </w:rPr>
            </w:pPr>
            <w:r w:rsidDel="00000000" w:rsidR="00000000" w:rsidRPr="00000000">
              <w:rPr>
                <w:b w:val="1"/>
                <w:color w:val="ffffff"/>
                <w:sz w:val="26"/>
                <w:szCs w:val="26"/>
                <w:rtl w:val="0"/>
              </w:rPr>
              <w:t xml:space="preserve">Evrensel Periyodik İnceleme (UPR)</w:t>
            </w:r>
          </w:p>
        </w:tc>
      </w:tr>
      <w:tr>
        <w:trPr>
          <w:cantSplit w:val="1"/>
          <w:trHeight w:val="1134" w:hRule="atLeast"/>
          <w:tblHeader w:val="0"/>
        </w:trPr>
        <w:tc>
          <w:tcPr>
            <w:shd w:fill="073763" w:val="clear"/>
            <w:vAlign w:val="center"/>
          </w:tcPr>
          <w:p w:rsidR="00000000" w:rsidDel="00000000" w:rsidP="00000000" w:rsidRDefault="00000000" w:rsidRPr="00000000" w14:paraId="00000007">
            <w:pPr>
              <w:ind w:left="113" w:right="113" w:firstLine="0"/>
              <w:jc w:val="center"/>
              <w:rPr>
                <w:color w:val="ffffff"/>
              </w:rPr>
            </w:pPr>
            <w:r w:rsidDel="00000000" w:rsidR="00000000" w:rsidRPr="00000000">
              <w:rPr>
                <w:b w:val="1"/>
                <w:color w:val="ffffff"/>
                <w:rtl w:val="0"/>
              </w:rPr>
              <w:t xml:space="preserve">Kapsam</w:t>
            </w:r>
            <w:r w:rsidDel="00000000" w:rsidR="00000000" w:rsidRPr="00000000">
              <w:rPr>
                <w:rtl w:val="0"/>
              </w:rPr>
            </w:r>
          </w:p>
        </w:tc>
        <w:tc>
          <w:tcPr/>
          <w:p w:rsidR="00000000" w:rsidDel="00000000" w:rsidP="00000000" w:rsidRDefault="00000000" w:rsidRPr="00000000" w14:paraId="00000008">
            <w:pPr>
              <w:rPr/>
            </w:pPr>
            <w:r w:rsidDel="00000000" w:rsidR="00000000" w:rsidRPr="00000000">
              <w:rPr>
                <w:rtl w:val="0"/>
              </w:rPr>
              <w:t xml:space="preserve">TB’ler bir devletin onayladığı veya katıldığı bir anlaşmada belirtilen yükümlülüklerin nasıl uygulandığını inceler. Ayrıca bireysel şikayetleri de değerlendirebilirler</w:t>
            </w:r>
          </w:p>
        </w:tc>
        <w:tc>
          <w:tcPr/>
          <w:p w:rsidR="00000000" w:rsidDel="00000000" w:rsidP="00000000" w:rsidRDefault="00000000" w:rsidRPr="00000000" w14:paraId="00000009">
            <w:pPr>
              <w:rPr/>
            </w:pPr>
            <w:r w:rsidDel="00000000" w:rsidR="00000000" w:rsidRPr="00000000">
              <w:rPr>
                <w:rtl w:val="0"/>
              </w:rPr>
              <w:t xml:space="preserve">SP’ler ya bir ülkedeki insan hakları durumunu izler ya da genel bir değerlendirmenin parçası olarak insan hakları temalarına odaklanır. Ayrıca münferit vakaları veya sorunlu mevzuatı da değerlendirebilirler</w:t>
            </w:r>
          </w:p>
        </w:tc>
        <w:tc>
          <w:tcPr/>
          <w:p w:rsidR="00000000" w:rsidDel="00000000" w:rsidP="00000000" w:rsidRDefault="00000000" w:rsidRPr="00000000" w14:paraId="0000000A">
            <w:pPr>
              <w:rPr/>
            </w:pPr>
            <w:r w:rsidDel="00000000" w:rsidR="00000000" w:rsidRPr="00000000">
              <w:rPr>
                <w:rtl w:val="0"/>
              </w:rPr>
              <w:t xml:space="preserve">Konseyi üyelerinin oy birliği ya da oylama ile izleme yetkisi verdiği herhangi bir insan hakları konusunu durumunu ya da ülkesini izleyebilir ve inceleyebilirler</w:t>
            </w:r>
          </w:p>
        </w:tc>
        <w:tc>
          <w:tcPr/>
          <w:p w:rsidR="00000000" w:rsidDel="00000000" w:rsidP="00000000" w:rsidRDefault="00000000" w:rsidRPr="00000000" w14:paraId="0000000B">
            <w:pPr>
              <w:rPr/>
            </w:pPr>
            <w:r w:rsidDel="00000000" w:rsidR="00000000" w:rsidRPr="00000000">
              <w:rPr>
                <w:rtl w:val="0"/>
              </w:rPr>
              <w:t xml:space="preserve">BM üyesi tüm ülkelerin tüm insan hakları sicilini gözden geçirir </w:t>
            </w:r>
          </w:p>
        </w:tc>
      </w:tr>
      <w:tr>
        <w:trPr>
          <w:cantSplit w:val="1"/>
          <w:trHeight w:val="1134" w:hRule="atLeast"/>
          <w:tblHeader w:val="0"/>
        </w:trPr>
        <w:tc>
          <w:tcPr>
            <w:shd w:fill="073763" w:val="clear"/>
            <w:vAlign w:val="center"/>
          </w:tcPr>
          <w:p w:rsidR="00000000" w:rsidDel="00000000" w:rsidP="00000000" w:rsidRDefault="00000000" w:rsidRPr="00000000" w14:paraId="0000000C">
            <w:pPr>
              <w:ind w:left="113" w:right="113" w:firstLine="0"/>
              <w:jc w:val="center"/>
              <w:rPr>
                <w:color w:val="ffffff"/>
              </w:rPr>
            </w:pPr>
            <w:r w:rsidDel="00000000" w:rsidR="00000000" w:rsidRPr="00000000">
              <w:rPr>
                <w:b w:val="1"/>
                <w:color w:val="ffffff"/>
                <w:rtl w:val="0"/>
              </w:rPr>
              <w:t xml:space="preserve">Hangi insan hakları kapsamı dahilinde?</w:t>
            </w:r>
            <w:r w:rsidDel="00000000" w:rsidR="00000000" w:rsidRPr="00000000">
              <w:rPr>
                <w:rtl w:val="0"/>
              </w:rPr>
            </w:r>
          </w:p>
        </w:tc>
        <w:tc>
          <w:tcPr/>
          <w:p w:rsidR="00000000" w:rsidDel="00000000" w:rsidP="00000000" w:rsidRDefault="00000000" w:rsidRPr="00000000" w14:paraId="0000000D">
            <w:pPr>
              <w:rPr/>
            </w:pPr>
            <w:r w:rsidDel="00000000" w:rsidR="00000000" w:rsidRPr="00000000">
              <w:rPr>
                <w:rtl w:val="0"/>
              </w:rPr>
              <w:t xml:space="preserve">Sözleşme organları sadece sözleşmenin uygulama uyumluluğunu izlediği anlaşma kapsamındaki haklara odaklanır </w:t>
            </w:r>
          </w:p>
          <w:p w:rsidR="00000000" w:rsidDel="00000000" w:rsidP="00000000" w:rsidRDefault="00000000" w:rsidRPr="00000000" w14:paraId="0000000E">
            <w:pPr>
              <w:rPr/>
            </w:pPr>
            <w:r w:rsidDel="00000000" w:rsidR="00000000" w:rsidRPr="00000000">
              <w:rPr>
                <w:rtl w:val="0"/>
              </w:rPr>
            </w:r>
          </w:p>
        </w:tc>
        <w:tc>
          <w:tcPr/>
          <w:p w:rsidR="00000000" w:rsidDel="00000000" w:rsidP="00000000" w:rsidRDefault="00000000" w:rsidRPr="00000000" w14:paraId="0000000F">
            <w:pPr>
              <w:rPr/>
            </w:pPr>
            <w:r w:rsidDel="00000000" w:rsidR="00000000" w:rsidRPr="00000000">
              <w:rPr>
                <w:rtl w:val="0"/>
              </w:rPr>
              <w:t xml:space="preserve">SP’ler İnsan Hakları Konseyi tarafından yetkilendirildiği üzere ya ülkelere ya da belirli konulara odaklanır </w:t>
            </w:r>
          </w:p>
          <w:p w:rsidR="00000000" w:rsidDel="00000000" w:rsidP="00000000" w:rsidRDefault="00000000" w:rsidRPr="00000000" w14:paraId="00000010">
            <w:pPr>
              <w:rPr/>
            </w:pPr>
            <w:r w:rsidDel="00000000" w:rsidR="00000000" w:rsidRPr="00000000">
              <w:rPr>
                <w:rtl w:val="0"/>
              </w:rPr>
            </w:r>
          </w:p>
        </w:tc>
        <w:tc>
          <w:tcPr/>
          <w:p w:rsidR="00000000" w:rsidDel="00000000" w:rsidP="00000000" w:rsidRDefault="00000000" w:rsidRPr="00000000" w14:paraId="00000011">
            <w:pPr>
              <w:rPr/>
            </w:pPr>
            <w:r w:rsidDel="00000000" w:rsidR="00000000" w:rsidRPr="00000000">
              <w:rPr>
                <w:rtl w:val="0"/>
              </w:rPr>
              <w:t xml:space="preserve">Ağır ve sistemik insan hakları ihlallerine özellikle dikkat edilerek tüm insan hakları Konseyin kapsamındadır </w:t>
            </w:r>
          </w:p>
          <w:p w:rsidR="00000000" w:rsidDel="00000000" w:rsidP="00000000" w:rsidRDefault="00000000" w:rsidRPr="00000000" w14:paraId="00000012">
            <w:pPr>
              <w:rPr/>
            </w:pPr>
            <w:r w:rsidDel="00000000" w:rsidR="00000000" w:rsidRPr="00000000">
              <w:rPr>
                <w:rtl w:val="0"/>
              </w:rPr>
            </w:r>
          </w:p>
        </w:tc>
        <w:tc>
          <w:tcPr/>
          <w:p w:rsidR="00000000" w:rsidDel="00000000" w:rsidP="00000000" w:rsidRDefault="00000000" w:rsidRPr="00000000" w14:paraId="00000013">
            <w:pPr>
              <w:jc w:val="both"/>
              <w:rPr/>
            </w:pPr>
            <w:r w:rsidDel="00000000" w:rsidR="00000000" w:rsidRPr="00000000">
              <w:rPr>
                <w:rtl w:val="0"/>
              </w:rPr>
              <w:t xml:space="preserve">Devletlerin onayladığı ve onaylamadığı sözleşmeler dahil tüm  insan hakları konuları EPI/UPR kapsamındadır</w:t>
            </w:r>
          </w:p>
        </w:tc>
      </w:tr>
      <w:tr>
        <w:trPr>
          <w:cantSplit w:val="1"/>
          <w:trHeight w:val="1134" w:hRule="atLeast"/>
          <w:tblHeader w:val="0"/>
        </w:trPr>
        <w:tc>
          <w:tcPr>
            <w:shd w:fill="073763" w:val="clear"/>
            <w:vAlign w:val="center"/>
          </w:tcPr>
          <w:p w:rsidR="00000000" w:rsidDel="00000000" w:rsidP="00000000" w:rsidRDefault="00000000" w:rsidRPr="00000000" w14:paraId="00000014">
            <w:pPr>
              <w:ind w:left="113" w:right="113" w:firstLine="0"/>
              <w:jc w:val="center"/>
              <w:rPr>
                <w:color w:val="ffffff"/>
              </w:rPr>
            </w:pPr>
            <w:r w:rsidDel="00000000" w:rsidR="00000000" w:rsidRPr="00000000">
              <w:rPr>
                <w:b w:val="1"/>
                <w:color w:val="ffffff"/>
                <w:rtl w:val="0"/>
              </w:rPr>
              <w:t xml:space="preserve">Hangi ülkeler kapsam dahilinde?</w:t>
            </w:r>
            <w:r w:rsidDel="00000000" w:rsidR="00000000" w:rsidRPr="00000000">
              <w:rPr>
                <w:rtl w:val="0"/>
              </w:rPr>
            </w:r>
          </w:p>
        </w:tc>
        <w:tc>
          <w:tcPr/>
          <w:p w:rsidR="00000000" w:rsidDel="00000000" w:rsidP="00000000" w:rsidRDefault="00000000" w:rsidRPr="00000000" w14:paraId="00000015">
            <w:pPr>
              <w:rPr/>
            </w:pPr>
            <w:r w:rsidDel="00000000" w:rsidR="00000000" w:rsidRPr="00000000">
              <w:rPr>
                <w:rtl w:val="0"/>
              </w:rPr>
              <w:t xml:space="preserve">TB’ler yalnızca TB’nin uyumluluğunu izlediği anlaşmayı onaylayan ülkeleri inceleyebilir </w:t>
            </w:r>
          </w:p>
          <w:p w:rsidR="00000000" w:rsidDel="00000000" w:rsidP="00000000" w:rsidRDefault="00000000" w:rsidRPr="00000000" w14:paraId="00000016">
            <w:pPr>
              <w:rPr/>
            </w:pPr>
            <w:r w:rsidDel="00000000" w:rsidR="00000000" w:rsidRPr="00000000">
              <w:rPr>
                <w:rtl w:val="0"/>
              </w:rPr>
            </w:r>
          </w:p>
        </w:tc>
        <w:tc>
          <w:tcPr/>
          <w:p w:rsidR="00000000" w:rsidDel="00000000" w:rsidP="00000000" w:rsidRDefault="00000000" w:rsidRPr="00000000" w14:paraId="00000017">
            <w:pPr>
              <w:rPr/>
            </w:pPr>
            <w:r w:rsidDel="00000000" w:rsidR="00000000" w:rsidRPr="00000000">
              <w:rPr>
                <w:rtl w:val="0"/>
              </w:rPr>
              <w:t xml:space="preserve">Her ne kadar bazı SP’ler belirli bir ülkedeki durumu incelemekle görevlendirilmiş olsa da tematik SP’ler tüm ülkeleri inceler </w:t>
            </w:r>
          </w:p>
          <w:p w:rsidR="00000000" w:rsidDel="00000000" w:rsidP="00000000" w:rsidRDefault="00000000" w:rsidRPr="00000000" w14:paraId="00000018">
            <w:pPr>
              <w:rPr/>
            </w:pPr>
            <w:r w:rsidDel="00000000" w:rsidR="00000000" w:rsidRPr="00000000">
              <w:rPr>
                <w:rtl w:val="0"/>
              </w:rPr>
            </w:r>
          </w:p>
        </w:tc>
        <w:tc>
          <w:tcPr/>
          <w:p w:rsidR="00000000" w:rsidDel="00000000" w:rsidP="00000000" w:rsidRDefault="00000000" w:rsidRPr="00000000" w14:paraId="00000019">
            <w:pPr>
              <w:rPr/>
            </w:pPr>
            <w:r w:rsidDel="00000000" w:rsidR="00000000" w:rsidRPr="00000000">
              <w:rPr>
                <w:rtl w:val="0"/>
              </w:rPr>
              <w:t xml:space="preserve">Hepsi: Belirli bir ülkenin veya insan hakları konusunun incelenip incelenmeyeceği insan hakları konseyine üye devletlerin idaresine bağlı olsa da</w:t>
            </w:r>
          </w:p>
        </w:tc>
        <w:tc>
          <w:tcPr/>
          <w:p w:rsidR="00000000" w:rsidDel="00000000" w:rsidP="00000000" w:rsidRDefault="00000000" w:rsidRPr="00000000" w14:paraId="0000001A">
            <w:pPr>
              <w:rPr/>
            </w:pPr>
            <w:r w:rsidDel="00000000" w:rsidR="00000000" w:rsidRPr="00000000">
              <w:rPr>
                <w:rtl w:val="0"/>
              </w:rPr>
              <w:t xml:space="preserve">Tüm BM üye ülkeleri kapsamındadır </w:t>
            </w:r>
          </w:p>
          <w:p w:rsidR="00000000" w:rsidDel="00000000" w:rsidP="00000000" w:rsidRDefault="00000000" w:rsidRPr="00000000" w14:paraId="0000001B">
            <w:pPr>
              <w:rPr/>
            </w:pPr>
            <w:r w:rsidDel="00000000" w:rsidR="00000000" w:rsidRPr="00000000">
              <w:rPr>
                <w:rtl w:val="0"/>
              </w:rPr>
            </w:r>
          </w:p>
        </w:tc>
      </w:tr>
      <w:tr>
        <w:trPr>
          <w:cantSplit w:val="1"/>
          <w:trHeight w:val="1134" w:hRule="atLeast"/>
          <w:tblHeader w:val="0"/>
        </w:trPr>
        <w:tc>
          <w:tcPr>
            <w:shd w:fill="073763" w:val="clear"/>
            <w:vAlign w:val="center"/>
          </w:tcPr>
          <w:p w:rsidR="00000000" w:rsidDel="00000000" w:rsidP="00000000" w:rsidRDefault="00000000" w:rsidRPr="00000000" w14:paraId="0000001C">
            <w:pPr>
              <w:ind w:left="113" w:right="113" w:firstLine="0"/>
              <w:jc w:val="center"/>
              <w:rPr>
                <w:color w:val="ffffff"/>
              </w:rPr>
            </w:pPr>
            <w:r w:rsidDel="00000000" w:rsidR="00000000" w:rsidRPr="00000000">
              <w:rPr>
                <w:b w:val="1"/>
                <w:color w:val="ffffff"/>
                <w:rtl w:val="0"/>
              </w:rPr>
              <w:t xml:space="preserve">İzleme ne sıklıkla yapılıyor?</w:t>
            </w:r>
            <w:r w:rsidDel="00000000" w:rsidR="00000000" w:rsidRPr="00000000">
              <w:rPr>
                <w:rtl w:val="0"/>
              </w:rPr>
            </w:r>
          </w:p>
          <w:p w:rsidR="00000000" w:rsidDel="00000000" w:rsidP="00000000" w:rsidRDefault="00000000" w:rsidRPr="00000000" w14:paraId="0000001D">
            <w:pPr>
              <w:ind w:left="113" w:right="113" w:firstLine="0"/>
              <w:jc w:val="center"/>
              <w:rPr>
                <w:color w:val="ffffff"/>
              </w:rPr>
            </w:pPr>
            <w:r w:rsidDel="00000000" w:rsidR="00000000" w:rsidRPr="00000000">
              <w:rPr>
                <w:rtl w:val="0"/>
              </w:rPr>
            </w:r>
          </w:p>
        </w:tc>
        <w:tc>
          <w:tcPr/>
          <w:p w:rsidR="00000000" w:rsidDel="00000000" w:rsidP="00000000" w:rsidRDefault="00000000" w:rsidRPr="00000000" w14:paraId="0000001E">
            <w:pPr>
              <w:rPr/>
            </w:pPr>
            <w:r w:rsidDel="00000000" w:rsidR="00000000" w:rsidRPr="00000000">
              <w:rPr>
                <w:rtl w:val="0"/>
              </w:rPr>
              <w:t xml:space="preserve">2022’de kabul edilen sistemle sekiz yıllık inceleme döngüleri benimsenmiştir. Taraf Devletlerden, sonuç gözlemlerinde açıkça belirtilen az sayıda (iki-dört arası) “takip tavsiyesini” hayata geçirmek için alınan önlemler hakkında bir ila üç yıl içinde ilgili Komite'ye rapor vermeleri istenmektedir. Değişiklik gösterdiği için ilgili Komite ile kontrol edilmesi tavsiye edilir: </w:t>
            </w:r>
            <w:hyperlink r:id="rId9">
              <w:r w:rsidDel="00000000" w:rsidR="00000000" w:rsidRPr="00000000">
                <w:rPr>
                  <w:color w:val="467886"/>
                  <w:u w:val="single"/>
                  <w:rtl w:val="0"/>
                </w:rPr>
                <w:t xml:space="preserve">https://www.ohchr.org/en/treaty-bodies/follow-concluding-observations</w:t>
              </w:r>
            </w:hyperlink>
            <w:r w:rsidDel="00000000" w:rsidR="00000000" w:rsidRPr="00000000">
              <w:rPr>
                <w:rtl w:val="0"/>
              </w:rPr>
              <w:t xml:space="preserve">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Bir ülke bunu kabul etmişse sözleşme organlarından bireysel şikayetler de gözden geçirilebilir</w:t>
            </w:r>
          </w:p>
        </w:tc>
        <w:tc>
          <w:tcPr/>
          <w:p w:rsidR="00000000" w:rsidDel="00000000" w:rsidP="00000000" w:rsidRDefault="00000000" w:rsidRPr="00000000" w14:paraId="00000021">
            <w:pPr>
              <w:rPr/>
            </w:pPr>
            <w:r w:rsidDel="00000000" w:rsidR="00000000" w:rsidRPr="00000000">
              <w:rPr>
                <w:rtl w:val="0"/>
              </w:rPr>
              <w:t xml:space="preserve">Devamlı: Her sebep kendi ülkesi veya konusu ve gerçekleştirdiği ülke ziyaretleri hakkında en az bir yıllık rapor yayınlar ayrıca bir ülkede ciddi insan hakları ihlalleri yaşanıyorsa yıl içinde bildirimler yayınlayabilir </w:t>
            </w:r>
          </w:p>
        </w:tc>
        <w:tc>
          <w:tcPr/>
          <w:p w:rsidR="00000000" w:rsidDel="00000000" w:rsidP="00000000" w:rsidRDefault="00000000" w:rsidRPr="00000000" w14:paraId="00000022">
            <w:pPr>
              <w:rPr/>
            </w:pPr>
            <w:r w:rsidDel="00000000" w:rsidR="00000000" w:rsidRPr="00000000">
              <w:rPr>
                <w:rtl w:val="0"/>
              </w:rPr>
              <w:t xml:space="preserve">Devamlı: İnsan Hakları Konseyi yılda 3 kez toplanır ve çok çeşitli insan hakları konularını ve ülke durumlarını tartışır, kararlar kabul edilebilir, özel oturumlar düzenlenebilir, diyaloglar ve tartışmalar yapılabilir ve hükümetlere açık açıklamalarda bulunabilirler</w:t>
            </w:r>
          </w:p>
        </w:tc>
        <w:tc>
          <w:tcPr/>
          <w:p w:rsidR="00000000" w:rsidDel="00000000" w:rsidP="00000000" w:rsidRDefault="00000000" w:rsidRPr="00000000" w14:paraId="00000023">
            <w:pPr>
              <w:rPr/>
            </w:pPr>
            <w:r w:rsidDel="00000000" w:rsidR="00000000" w:rsidRPr="00000000">
              <w:rPr>
                <w:rtl w:val="0"/>
              </w:rPr>
              <w:t xml:space="preserve">Her devlet her 5 buçuk yılda bir gözden geçirilir ve arada 2,5 yılda bir gönüllü ara dönem raporlamaları yapılır. STÖ’ler Taraf Devlet ara dönem raporları ve dönem raporlarını beklemeden kendi raporlarını sunar. </w:t>
            </w:r>
          </w:p>
        </w:tc>
      </w:tr>
      <w:tr>
        <w:trPr>
          <w:cantSplit w:val="1"/>
          <w:trHeight w:val="1134" w:hRule="atLeast"/>
          <w:tblHeader w:val="0"/>
        </w:trPr>
        <w:tc>
          <w:tcPr>
            <w:shd w:fill="073763" w:val="clear"/>
            <w:vAlign w:val="center"/>
          </w:tcPr>
          <w:p w:rsidR="00000000" w:rsidDel="00000000" w:rsidP="00000000" w:rsidRDefault="00000000" w:rsidRPr="00000000" w14:paraId="00000024">
            <w:pPr>
              <w:ind w:left="113" w:right="113" w:firstLine="0"/>
              <w:jc w:val="center"/>
              <w:rPr>
                <w:color w:val="ffffff"/>
              </w:rPr>
            </w:pPr>
            <w:r w:rsidDel="00000000" w:rsidR="00000000" w:rsidRPr="00000000">
              <w:rPr>
                <w:b w:val="1"/>
                <w:color w:val="ffffff"/>
                <w:rtl w:val="0"/>
              </w:rPr>
              <w:t xml:space="preserve">Ülke ziyaretleri yapılabilir mi?</w:t>
            </w:r>
            <w:r w:rsidDel="00000000" w:rsidR="00000000" w:rsidRPr="00000000">
              <w:rPr>
                <w:rtl w:val="0"/>
              </w:rPr>
            </w:r>
          </w:p>
        </w:tc>
        <w:tc>
          <w:tcPr/>
          <w:p w:rsidR="00000000" w:rsidDel="00000000" w:rsidP="00000000" w:rsidRDefault="00000000" w:rsidRPr="00000000" w14:paraId="00000025">
            <w:pPr>
              <w:rPr/>
            </w:pPr>
            <w:r w:rsidDel="00000000" w:rsidR="00000000" w:rsidRPr="00000000">
              <w:rPr>
                <w:rtl w:val="0"/>
              </w:rPr>
              <w:t xml:space="preserve">Evet: İşkenceyi Önleme Alt Komitesi ülkeleri ziyaret edebilir ve bazen takip prosedürlerinin bir parçası olarak gayri resmi ülke ziyaretleri gerçekleştirir.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Diğer komiteler için: hayır</w:t>
            </w:r>
          </w:p>
        </w:tc>
        <w:tc>
          <w:tcPr/>
          <w:p w:rsidR="00000000" w:rsidDel="00000000" w:rsidP="00000000" w:rsidRDefault="00000000" w:rsidRPr="00000000" w14:paraId="00000028">
            <w:pPr>
              <w:rPr/>
            </w:pPr>
            <w:r w:rsidDel="00000000" w:rsidR="00000000" w:rsidRPr="00000000">
              <w:rPr>
                <w:rtl w:val="0"/>
              </w:rPr>
              <w:t xml:space="preserve">Evet: Tüm SP’ler ülke ziyaretlerine gidebilir ancak resmi ziyaretler yalnızca devlet tarafından davet edildikleri takdirde mümkündür</w:t>
            </w:r>
          </w:p>
        </w:tc>
        <w:tc>
          <w:tcPr/>
          <w:p w:rsidR="00000000" w:rsidDel="00000000" w:rsidP="00000000" w:rsidRDefault="00000000" w:rsidRPr="00000000" w14:paraId="00000029">
            <w:pPr>
              <w:rPr/>
            </w:pPr>
            <w:r w:rsidDel="00000000" w:rsidR="00000000" w:rsidRPr="00000000">
              <w:rPr>
                <w:rtl w:val="0"/>
              </w:rPr>
              <w:t xml:space="preserve">Mümkün: Genel olarak İnsan Hakları Konseyi prosedürlerinin bir parçası olarak ülke ziyaretleri yapılmaz ancak İnsan Hakları Konseyi SP’lerin veya diğer aktörlerin ziyaretler gerçekleştirmesini talep edebilir ve İnsan Hakları Konseyi başkanı da ziyaretler gerçekleştirmek için </w:t>
            </w:r>
            <w:sdt>
              <w:sdtPr>
                <w:id w:val="938946540"/>
                <w:tag w:val="goog_rdk_0"/>
              </w:sdtPr>
              <w:sdtContent>
                <w:commentRangeStart w:id="0"/>
              </w:sdtContent>
            </w:sdt>
            <w:r w:rsidDel="00000000" w:rsidR="00000000" w:rsidRPr="00000000">
              <w:rPr>
                <w:rtl w:val="0"/>
              </w:rPr>
              <w:t xml:space="preserve">İyi</w:t>
            </w:r>
            <w:commentRangeEnd w:id="0"/>
            <w:r w:rsidDel="00000000" w:rsidR="00000000" w:rsidRPr="00000000">
              <w:commentReference w:id="0"/>
            </w:r>
            <w:r w:rsidDel="00000000" w:rsidR="00000000" w:rsidRPr="00000000">
              <w:rPr>
                <w:rtl w:val="0"/>
              </w:rPr>
              <w:t xml:space="preserve"> Ofislerini kullanabilir</w:t>
            </w:r>
          </w:p>
        </w:tc>
        <w:tc>
          <w:tcPr/>
          <w:p w:rsidR="00000000" w:rsidDel="00000000" w:rsidP="00000000" w:rsidRDefault="00000000" w:rsidRPr="00000000" w14:paraId="0000002A">
            <w:pPr>
              <w:rPr/>
            </w:pPr>
            <w:r w:rsidDel="00000000" w:rsidR="00000000" w:rsidRPr="00000000">
              <w:rPr>
                <w:rtl w:val="0"/>
              </w:rPr>
              <w:t xml:space="preserve">Hayır: EPI/UPR sürecinin bir parçası olarak ülke ziyaretleri yapılmamaktadır</w:t>
            </w:r>
          </w:p>
        </w:tc>
      </w:tr>
      <w:tr>
        <w:trPr>
          <w:cantSplit w:val="1"/>
          <w:trHeight w:val="1134" w:hRule="atLeast"/>
          <w:tblHeader w:val="0"/>
        </w:trPr>
        <w:tc>
          <w:tcPr>
            <w:shd w:fill="073763" w:val="clear"/>
            <w:vAlign w:val="center"/>
          </w:tcPr>
          <w:p w:rsidR="00000000" w:rsidDel="00000000" w:rsidP="00000000" w:rsidRDefault="00000000" w:rsidRPr="00000000" w14:paraId="0000002B">
            <w:pPr>
              <w:ind w:left="113" w:right="113" w:firstLine="0"/>
              <w:jc w:val="center"/>
              <w:rPr>
                <w:color w:val="ffffff"/>
              </w:rPr>
            </w:pPr>
            <w:r w:rsidDel="00000000" w:rsidR="00000000" w:rsidRPr="00000000">
              <w:rPr>
                <w:b w:val="1"/>
                <w:color w:val="ffffff"/>
                <w:rtl w:val="0"/>
              </w:rPr>
              <w:t xml:space="preserve">Tavsiyeleri kim veriyor?</w:t>
            </w:r>
            <w:r w:rsidDel="00000000" w:rsidR="00000000" w:rsidRPr="00000000">
              <w:rPr>
                <w:rtl w:val="0"/>
              </w:rPr>
            </w:r>
          </w:p>
          <w:p w:rsidR="00000000" w:rsidDel="00000000" w:rsidP="00000000" w:rsidRDefault="00000000" w:rsidRPr="00000000" w14:paraId="0000002C">
            <w:pPr>
              <w:ind w:left="113" w:right="113" w:firstLine="0"/>
              <w:jc w:val="center"/>
              <w:rPr>
                <w:color w:val="ffffff"/>
              </w:rPr>
            </w:pPr>
            <w:r w:rsidDel="00000000" w:rsidR="00000000" w:rsidRPr="00000000">
              <w:rPr>
                <w:rtl w:val="0"/>
              </w:rPr>
            </w:r>
          </w:p>
        </w:tc>
        <w:tc>
          <w:tcPr/>
          <w:p w:rsidR="00000000" w:rsidDel="00000000" w:rsidP="00000000" w:rsidRDefault="00000000" w:rsidRPr="00000000" w14:paraId="0000002D">
            <w:pPr>
              <w:rPr/>
            </w:pPr>
            <w:r w:rsidDel="00000000" w:rsidR="00000000" w:rsidRPr="00000000">
              <w:rPr>
                <w:rtl w:val="0"/>
              </w:rPr>
              <w:t xml:space="preserve">Uzmanlar: Uzmanlardan oluşan bir komite devletlere tavsiyelerde bulunur </w:t>
            </w:r>
          </w:p>
        </w:tc>
        <w:tc>
          <w:tcPr/>
          <w:p w:rsidR="00000000" w:rsidDel="00000000" w:rsidP="00000000" w:rsidRDefault="00000000" w:rsidRPr="00000000" w14:paraId="0000002E">
            <w:pPr>
              <w:rPr/>
            </w:pPr>
            <w:r w:rsidDel="00000000" w:rsidR="00000000" w:rsidRPr="00000000">
              <w:rPr>
                <w:rtl w:val="0"/>
              </w:rPr>
              <w:t xml:space="preserve">Uzmanlar: Bir birey veya küçük bir grup öncelikle devletlere ancak işletmeler gibi diğer aktörlere de tavsiyelerde bulunur </w:t>
            </w:r>
          </w:p>
        </w:tc>
        <w:tc>
          <w:tcPr/>
          <w:p w:rsidR="00000000" w:rsidDel="00000000" w:rsidP="00000000" w:rsidRDefault="00000000" w:rsidRPr="00000000" w14:paraId="0000002F">
            <w:pPr>
              <w:rPr/>
            </w:pPr>
            <w:r w:rsidDel="00000000" w:rsidR="00000000" w:rsidRPr="00000000">
              <w:rPr>
                <w:rtl w:val="0"/>
              </w:rPr>
              <w:t xml:space="preserve">Devletler: İnsan Hakları Konseyi’ne üye devletler İnsan Hakları Konseyi'nin bir duruma müdahale etmek için ne tür bir eylemde bulunacağı konusunda oylama yapar ve hükümetler kendi tavsiyelerini içeren ortak açıklamalar yapabilirler</w:t>
            </w:r>
          </w:p>
        </w:tc>
        <w:tc>
          <w:tcPr/>
          <w:p w:rsidR="00000000" w:rsidDel="00000000" w:rsidP="00000000" w:rsidRDefault="00000000" w:rsidRPr="00000000" w14:paraId="00000030">
            <w:pPr>
              <w:rPr/>
            </w:pPr>
            <w:r w:rsidDel="00000000" w:rsidR="00000000" w:rsidRPr="00000000">
              <w:rPr>
                <w:rtl w:val="0"/>
              </w:rPr>
              <w:t xml:space="preserve">Devletler: Devletler birbirini tavsiyelerde bulunur</w:t>
            </w:r>
          </w:p>
        </w:tc>
      </w:tr>
      <w:tr>
        <w:trPr>
          <w:cantSplit w:val="1"/>
          <w:trHeight w:val="1134" w:hRule="atLeast"/>
          <w:tblHeader w:val="0"/>
        </w:trPr>
        <w:tc>
          <w:tcPr>
            <w:shd w:fill="073763" w:val="clear"/>
            <w:vAlign w:val="center"/>
          </w:tcPr>
          <w:p w:rsidR="00000000" w:rsidDel="00000000" w:rsidP="00000000" w:rsidRDefault="00000000" w:rsidRPr="00000000" w14:paraId="00000031">
            <w:pPr>
              <w:ind w:left="113" w:right="113" w:firstLine="0"/>
              <w:jc w:val="center"/>
              <w:rPr>
                <w:color w:val="ffffff"/>
              </w:rPr>
            </w:pPr>
            <w:r w:rsidDel="00000000" w:rsidR="00000000" w:rsidRPr="00000000">
              <w:rPr>
                <w:b w:val="1"/>
                <w:color w:val="ffffff"/>
                <w:rtl w:val="0"/>
              </w:rPr>
              <w:t xml:space="preserve">Tavsiyeler ne kadar güvenilir ve bağlayıcı?</w:t>
            </w:r>
            <w:r w:rsidDel="00000000" w:rsidR="00000000" w:rsidRPr="00000000">
              <w:rPr>
                <w:rtl w:val="0"/>
              </w:rPr>
            </w:r>
          </w:p>
          <w:p w:rsidR="00000000" w:rsidDel="00000000" w:rsidP="00000000" w:rsidRDefault="00000000" w:rsidRPr="00000000" w14:paraId="00000032">
            <w:pPr>
              <w:ind w:left="113" w:right="113" w:firstLine="0"/>
              <w:jc w:val="center"/>
              <w:rPr>
                <w:color w:val="ffffff"/>
              </w:rPr>
            </w:pPr>
            <w:r w:rsidDel="00000000" w:rsidR="00000000" w:rsidRPr="00000000">
              <w:rPr>
                <w:rtl w:val="0"/>
              </w:rPr>
            </w:r>
          </w:p>
        </w:tc>
        <w:tc>
          <w:tcPr/>
          <w:p w:rsidR="00000000" w:rsidDel="00000000" w:rsidP="00000000" w:rsidRDefault="00000000" w:rsidRPr="00000000" w14:paraId="00000033">
            <w:pPr>
              <w:rPr/>
            </w:pPr>
            <w:r w:rsidDel="00000000" w:rsidR="00000000" w:rsidRPr="00000000">
              <w:rPr>
                <w:rtl w:val="0"/>
              </w:rPr>
              <w:t xml:space="preserve">Bağlayıcıdır: Sözleşme organlarının tavsiyeleri ve bireysel başvurulara ilişkin görüşleri devletlerin bağlayıcı yasal yükümlülüklerini uygulamak için ne yapmaları  gerektiğine dair yetkili ifadelerdir yani devletler bunları iyi niyetle değerlendirme ve uygulama yükümlülüğündedir. Ancak, devletlerin bunu yapmaması halinde herhangi bir yaptırım söz konusu değildir. Tavsiyeler genellikle hukuki bir dille yazılır ve çok spesifik olabilir. Devletler anlaşmayı onaylayarak tavsiyelerle bağlı olmayı kabul etmişlerdir, ancak uyma konusundaki yasal (ulusal/yerel mahkemeler), sivil (STÖ’ler) ve siyasi (ulusal ve yerel meclisler) baskı öncelikle ulusal düzeyde olur.</w:t>
            </w:r>
          </w:p>
        </w:tc>
        <w:tc>
          <w:tcPr/>
          <w:p w:rsidR="00000000" w:rsidDel="00000000" w:rsidP="00000000" w:rsidRDefault="00000000" w:rsidRPr="00000000" w14:paraId="00000034">
            <w:pPr>
              <w:rPr/>
            </w:pPr>
            <w:r w:rsidDel="00000000" w:rsidR="00000000" w:rsidRPr="00000000">
              <w:rPr>
                <w:rtl w:val="0"/>
              </w:rPr>
              <w:t xml:space="preserve">Uzman: Tavsiyeler bağımsız uzmanlar tarafından yapılmakta ve bu da onları oldukça güvenilir kılmaktadır. Tavsiyelerin kendileri bağlayıcı değildir. Bu da devletlerin sadece buraları uygulamalara teşvik edildiği anlamına gelir. SP’lerden gelen bildirimler kendi başlarına sınırlı etkiye sahip olabilir çünkü diğer devletler bunlardan haberdar değildir ancak bazı devletler bunları çok ciddiye alır. Ayrıca, tematik raporlar belirli bir ülkeyi hedef almaz ve bu nedenle devletler tarafından genel rehberlik olarak kabul edilirken ülke ziyaret raporları daha fazla etkiye sahiptir.  </w:t>
            </w:r>
          </w:p>
        </w:tc>
        <w:tc>
          <w:tcPr/>
          <w:p w:rsidR="00000000" w:rsidDel="00000000" w:rsidP="00000000" w:rsidRDefault="00000000" w:rsidRPr="00000000" w14:paraId="00000035">
            <w:pPr>
              <w:rPr/>
            </w:pPr>
            <w:r w:rsidDel="00000000" w:rsidR="00000000" w:rsidRPr="00000000">
              <w:rPr>
                <w:rtl w:val="0"/>
              </w:rPr>
              <w:t xml:space="preserve">Siyasi: İnsan Hakları Konseyi’nin karar ve hükümleri ve hükümet açıklamaları siyasidir ve yasal olarak bağlayıcı değildir. Ancak güçlü siyasi taahhütler içerir. Kararlara sponsorluk veya eş sponsorluk yapmış olan devletler ile bu kararlar lehine oy kullanmış olan devletlerin bu kararlara uyma konusunda daha fazla baskı altında oldukları düşünülebilir. Kararlara veya hükümet açıklamalarına konu olan devletler yanıt vermeleri için güçlü bir uluslararası ve ulusal (eğer ülke içinde biliniyor ise) siyasi baskı hissedeceklerdir. </w:t>
            </w:r>
          </w:p>
        </w:tc>
        <w:tc>
          <w:tcPr/>
          <w:p w:rsidR="00000000" w:rsidDel="00000000" w:rsidP="00000000" w:rsidRDefault="00000000" w:rsidRPr="00000000" w14:paraId="00000036">
            <w:pPr>
              <w:rPr/>
            </w:pPr>
            <w:r w:rsidDel="00000000" w:rsidR="00000000" w:rsidRPr="00000000">
              <w:rPr>
                <w:rtl w:val="0"/>
              </w:rPr>
              <w:t xml:space="preserve">Siyasi: EPI/UPR tavsiyeleri her zaman siyasidir çünkü devletler birbirini gözden geçirir. Bazıları spesifik, eylem odaklı uluslararası insan hakları standartlarına uygun olabilir ancak diğerleri oldukça muğlak olma eğilimindedir. Devletler tavsiyeleri kabul etmeyi veya sadece not etmeyi seçerler, ama devlet uymazsa herhangi bir yaptırım yoktur. Bir devlet bir tavsiyeyi kabul ederse, bu siyasi taahhüt harekete geçmeleri için baskı yapmak amacıyla kullanılabilir ve tavsiyede bulunan devlete harekete geçtiğini göstermek isteyecektir </w:t>
            </w:r>
          </w:p>
        </w:tc>
      </w:tr>
      <w:tr>
        <w:trPr>
          <w:cantSplit w:val="1"/>
          <w:trHeight w:val="1134" w:hRule="atLeast"/>
          <w:tblHeader w:val="0"/>
        </w:trPr>
        <w:tc>
          <w:tcPr>
            <w:shd w:fill="073763" w:val="clear"/>
            <w:vAlign w:val="center"/>
          </w:tcPr>
          <w:p w:rsidR="00000000" w:rsidDel="00000000" w:rsidP="00000000" w:rsidRDefault="00000000" w:rsidRPr="00000000" w14:paraId="00000037">
            <w:pPr>
              <w:ind w:left="113" w:right="113" w:firstLine="0"/>
              <w:jc w:val="center"/>
              <w:rPr>
                <w:color w:val="ffffff"/>
              </w:rPr>
            </w:pPr>
            <w:r w:rsidDel="00000000" w:rsidR="00000000" w:rsidRPr="00000000">
              <w:rPr>
                <w:b w:val="1"/>
                <w:color w:val="ffffff"/>
                <w:rtl w:val="0"/>
              </w:rPr>
              <w:t xml:space="preserve">Ne kadar çabuk tepki veriyor?</w:t>
            </w:r>
            <w:r w:rsidDel="00000000" w:rsidR="00000000" w:rsidRPr="00000000">
              <w:rPr>
                <w:rtl w:val="0"/>
              </w:rPr>
            </w:r>
          </w:p>
          <w:p w:rsidR="00000000" w:rsidDel="00000000" w:rsidP="00000000" w:rsidRDefault="00000000" w:rsidRPr="00000000" w14:paraId="00000038">
            <w:pPr>
              <w:ind w:left="113" w:right="113" w:firstLine="0"/>
              <w:jc w:val="center"/>
              <w:rPr>
                <w:color w:val="ffffff"/>
              </w:rPr>
            </w:pPr>
            <w:r w:rsidDel="00000000" w:rsidR="00000000" w:rsidRPr="00000000">
              <w:rPr>
                <w:rtl w:val="0"/>
              </w:rPr>
            </w:r>
          </w:p>
        </w:tc>
        <w:tc>
          <w:tcPr/>
          <w:p w:rsidR="00000000" w:rsidDel="00000000" w:rsidP="00000000" w:rsidRDefault="00000000" w:rsidRPr="00000000" w14:paraId="00000039">
            <w:pPr>
              <w:rPr/>
            </w:pPr>
            <w:r w:rsidDel="00000000" w:rsidR="00000000" w:rsidRPr="00000000">
              <w:rPr>
                <w:rtl w:val="0"/>
              </w:rPr>
              <w:t xml:space="preserve">İncelemelerinin sıklığı farklılık gösterebilir ve bireysel şikayetler için bir buçuk ila 5 yıllık bir birikim söz konusudur ancak geri dönüşü olmayan zararı önlemek için geçici tedbirler daha hızlı bir şekilde verilebilir. </w:t>
            </w:r>
          </w:p>
        </w:tc>
        <w:tc>
          <w:tcPr/>
          <w:p w:rsidR="00000000" w:rsidDel="00000000" w:rsidP="00000000" w:rsidRDefault="00000000" w:rsidRPr="00000000" w14:paraId="0000003A">
            <w:pPr>
              <w:rPr/>
            </w:pPr>
            <w:r w:rsidDel="00000000" w:rsidR="00000000" w:rsidRPr="00000000">
              <w:rPr>
                <w:rtl w:val="0"/>
              </w:rPr>
              <w:t xml:space="preserve">Acil durumlarda 24 saat içinde tepki verebilir ancak birkaç hafta da sürebilir. </w:t>
            </w:r>
          </w:p>
          <w:p w:rsidR="00000000" w:rsidDel="00000000" w:rsidP="00000000" w:rsidRDefault="00000000" w:rsidRPr="00000000" w14:paraId="0000003B">
            <w:pPr>
              <w:rPr/>
            </w:pPr>
            <w:r w:rsidDel="00000000" w:rsidR="00000000" w:rsidRPr="00000000">
              <w:rPr>
                <w:rtl w:val="0"/>
              </w:rPr>
            </w:r>
          </w:p>
        </w:tc>
        <w:tc>
          <w:tcPr/>
          <w:p w:rsidR="00000000" w:rsidDel="00000000" w:rsidP="00000000" w:rsidRDefault="00000000" w:rsidRPr="00000000" w14:paraId="0000003C">
            <w:pPr>
              <w:rPr/>
            </w:pPr>
            <w:r w:rsidDel="00000000" w:rsidR="00000000" w:rsidRPr="00000000">
              <w:rPr>
                <w:rtl w:val="0"/>
              </w:rPr>
              <w:t xml:space="preserve">Mart, Haziran, Eylül aylarında düzenli oturum döngüsünü takip eder ancak güçlü bir siyasi irade varsa acil durumlara yanıt vermek için özel oturumlar da düzenleyebilir.</w:t>
            </w:r>
          </w:p>
        </w:tc>
        <w:tc>
          <w:tcPr/>
          <w:p w:rsidR="00000000" w:rsidDel="00000000" w:rsidP="00000000" w:rsidRDefault="00000000" w:rsidRPr="00000000" w14:paraId="0000003D">
            <w:pPr>
              <w:rPr/>
            </w:pPr>
            <w:r w:rsidDel="00000000" w:rsidR="00000000" w:rsidRPr="00000000">
              <w:rPr>
                <w:rtl w:val="0"/>
              </w:rPr>
              <w:t xml:space="preserve">Düzenli 5 buçuk yıllık döngüyü takip eder. </w:t>
            </w:r>
          </w:p>
          <w:p w:rsidR="00000000" w:rsidDel="00000000" w:rsidP="00000000" w:rsidRDefault="00000000" w:rsidRPr="00000000" w14:paraId="0000003E">
            <w:pPr>
              <w:rPr/>
            </w:pPr>
            <w:r w:rsidDel="00000000" w:rsidR="00000000" w:rsidRPr="00000000">
              <w:rPr>
                <w:rtl w:val="0"/>
              </w:rPr>
            </w:r>
          </w:p>
        </w:tc>
      </w:tr>
      <w:tr>
        <w:trPr>
          <w:cantSplit w:val="1"/>
          <w:trHeight w:val="1134" w:hRule="atLeast"/>
          <w:tblHeader w:val="0"/>
        </w:trPr>
        <w:tc>
          <w:tcPr>
            <w:shd w:fill="073763" w:val="clear"/>
            <w:vAlign w:val="center"/>
          </w:tcPr>
          <w:p w:rsidR="00000000" w:rsidDel="00000000" w:rsidP="00000000" w:rsidRDefault="00000000" w:rsidRPr="00000000" w14:paraId="0000003F">
            <w:pPr>
              <w:ind w:left="113" w:right="113" w:firstLine="0"/>
              <w:jc w:val="center"/>
              <w:rPr>
                <w:color w:val="ffffff"/>
              </w:rPr>
            </w:pPr>
            <w:r w:rsidDel="00000000" w:rsidR="00000000" w:rsidRPr="00000000">
              <w:rPr>
                <w:b w:val="1"/>
                <w:color w:val="ffffff"/>
                <w:rtl w:val="0"/>
              </w:rPr>
              <w:t xml:space="preserve">Ne kadar erişilebilir?</w:t>
            </w:r>
            <w:r w:rsidDel="00000000" w:rsidR="00000000" w:rsidRPr="00000000">
              <w:rPr>
                <w:rtl w:val="0"/>
              </w:rPr>
            </w:r>
          </w:p>
          <w:p w:rsidR="00000000" w:rsidDel="00000000" w:rsidP="00000000" w:rsidRDefault="00000000" w:rsidRPr="00000000" w14:paraId="00000040">
            <w:pPr>
              <w:ind w:left="113" w:right="113" w:firstLine="0"/>
              <w:jc w:val="center"/>
              <w:rPr>
                <w:color w:val="ffffff"/>
              </w:rPr>
            </w:pPr>
            <w:r w:rsidDel="00000000" w:rsidR="00000000" w:rsidRPr="00000000">
              <w:rPr>
                <w:rtl w:val="0"/>
              </w:rPr>
            </w:r>
          </w:p>
        </w:tc>
        <w:tc>
          <w:tcPr/>
          <w:p w:rsidR="00000000" w:rsidDel="00000000" w:rsidP="00000000" w:rsidRDefault="00000000" w:rsidRPr="00000000" w14:paraId="00000041">
            <w:pPr>
              <w:rPr/>
            </w:pPr>
            <w:r w:rsidDel="00000000" w:rsidR="00000000" w:rsidRPr="00000000">
              <w:rPr>
                <w:rtl w:val="0"/>
              </w:rPr>
              <w:t xml:space="preserve">Erişimi kolay: herhangi bir STÖ bulunduğu yerden bilgi göndererek katılım sağlayabilir, oturum öncesi ve oturumda savunuculuk yapmak için Cenevre'ye seyahat ederseniz daha büyük etki yaratma potansiyeli var. ECOSOC akreditasyonu gerekmez.</w:t>
            </w:r>
          </w:p>
        </w:tc>
        <w:tc>
          <w:tcPr/>
          <w:p w:rsidR="00000000" w:rsidDel="00000000" w:rsidP="00000000" w:rsidRDefault="00000000" w:rsidRPr="00000000" w14:paraId="00000042">
            <w:pPr>
              <w:rPr/>
            </w:pPr>
            <w:r w:rsidDel="00000000" w:rsidR="00000000" w:rsidRPr="00000000">
              <w:rPr>
                <w:rtl w:val="0"/>
              </w:rPr>
              <w:t xml:space="preserve">Erişimi kolay: herhangi bir STÖ bulunduğu yerden bilgi göndererek, bireysel başvuru/şikâyet ile katılım sağlayabilir, ECOSOC akreditasyonu gerekmez</w:t>
            </w:r>
          </w:p>
        </w:tc>
        <w:tc>
          <w:tcPr/>
          <w:p w:rsidR="00000000" w:rsidDel="00000000" w:rsidP="00000000" w:rsidRDefault="00000000" w:rsidRPr="00000000" w14:paraId="00000043">
            <w:pPr>
              <w:rPr/>
            </w:pPr>
            <w:r w:rsidDel="00000000" w:rsidR="00000000" w:rsidRPr="00000000">
              <w:rPr>
                <w:rtl w:val="0"/>
              </w:rPr>
              <w:t xml:space="preserve">Erişimi orta düzeyde: herhangi bir STÖ’nün bulunduğu yerden savunuculuk yapması zor. Oturumlara katılmak ve açıklama yapmak için ECOSOC üyeliği ya da üyeliği olan bir ortak STÖ’nün yardımı gerekir </w:t>
            </w:r>
          </w:p>
        </w:tc>
        <w:tc>
          <w:tcPr/>
          <w:p w:rsidR="00000000" w:rsidDel="00000000" w:rsidP="00000000" w:rsidRDefault="00000000" w:rsidRPr="00000000" w14:paraId="00000044">
            <w:pPr>
              <w:rPr/>
            </w:pPr>
            <w:r w:rsidDel="00000000" w:rsidR="00000000" w:rsidRPr="00000000">
              <w:rPr>
                <w:rtl w:val="0"/>
              </w:rPr>
              <w:t xml:space="preserve">Erişimi kolay: herhangi bir STÖ bilgi göndererek ve bulunduğu yerden devletlere lobi yaparak katılabilir, ECOSOC akreditasyonu gerekmez</w:t>
            </w:r>
          </w:p>
        </w:tc>
      </w:tr>
      <w:tr>
        <w:trPr>
          <w:cantSplit w:val="1"/>
          <w:trHeight w:val="1134" w:hRule="atLeast"/>
          <w:tblHeader w:val="0"/>
        </w:trPr>
        <w:tc>
          <w:tcPr>
            <w:shd w:fill="073763" w:val="clear"/>
            <w:vAlign w:val="center"/>
          </w:tcPr>
          <w:p w:rsidR="00000000" w:rsidDel="00000000" w:rsidP="00000000" w:rsidRDefault="00000000" w:rsidRPr="00000000" w14:paraId="00000045">
            <w:pPr>
              <w:ind w:left="113" w:right="113" w:firstLine="0"/>
              <w:jc w:val="center"/>
              <w:rPr>
                <w:color w:val="ffffff"/>
              </w:rPr>
            </w:pPr>
            <w:r w:rsidDel="00000000" w:rsidR="00000000" w:rsidRPr="00000000">
              <w:rPr>
                <w:b w:val="1"/>
                <w:color w:val="ffffff"/>
                <w:rtl w:val="0"/>
              </w:rPr>
              <w:t xml:space="preserve">Erişime/iletişime geçmek ne kadar güvenli?</w:t>
            </w:r>
            <w:r w:rsidDel="00000000" w:rsidR="00000000" w:rsidRPr="00000000">
              <w:rPr>
                <w:rtl w:val="0"/>
              </w:rPr>
            </w:r>
          </w:p>
          <w:p w:rsidR="00000000" w:rsidDel="00000000" w:rsidP="00000000" w:rsidRDefault="00000000" w:rsidRPr="00000000" w14:paraId="00000046">
            <w:pPr>
              <w:ind w:left="113" w:right="113" w:firstLine="0"/>
              <w:jc w:val="center"/>
              <w:rPr>
                <w:color w:val="ffffff"/>
              </w:rPr>
            </w:pPr>
            <w:r w:rsidDel="00000000" w:rsidR="00000000" w:rsidRPr="00000000">
              <w:rPr>
                <w:b w:val="1"/>
                <w:color w:val="ffffff"/>
                <w:rtl w:val="0"/>
              </w:rPr>
              <w:t xml:space="preserve">bu genel bir değerlendirmedir her hak savunucusu kendi koşullarına ve devletine göre kendi değerlendirmesini yapmalıdır.</w:t>
            </w:r>
            <w:r w:rsidDel="00000000" w:rsidR="00000000" w:rsidRPr="00000000">
              <w:rPr>
                <w:rtl w:val="0"/>
              </w:rPr>
            </w:r>
          </w:p>
          <w:p w:rsidR="00000000" w:rsidDel="00000000" w:rsidP="00000000" w:rsidRDefault="00000000" w:rsidRPr="00000000" w14:paraId="00000047">
            <w:pPr>
              <w:ind w:left="113" w:right="113" w:firstLine="0"/>
              <w:jc w:val="center"/>
              <w:rPr>
                <w:color w:val="ffffff"/>
              </w:rPr>
            </w:pPr>
            <w:r w:rsidDel="00000000" w:rsidR="00000000" w:rsidRPr="00000000">
              <w:rPr>
                <w:rtl w:val="0"/>
              </w:rPr>
            </w:r>
          </w:p>
        </w:tc>
        <w:tc>
          <w:tcPr/>
          <w:p w:rsidR="00000000" w:rsidDel="00000000" w:rsidP="00000000" w:rsidRDefault="00000000" w:rsidRPr="00000000" w14:paraId="00000048">
            <w:pPr>
              <w:rPr/>
            </w:pPr>
            <w:r w:rsidDel="00000000" w:rsidR="00000000" w:rsidRPr="00000000">
              <w:rPr>
                <w:rtl w:val="0"/>
              </w:rPr>
              <w:t xml:space="preserve">Orta derecede STÖ’ler yaptıkları başvuruların Birleşmiş Milletler web sitesinde yayınlanmamasını talep edebilirler ve sözleşme organlarından özel görüşme talep edebilirler. Bireysel şikayetler için tüm bilgiler devlet ile paylaşılır. Ulusal sivil toplum örgütlerinin güvenlik kaygıları varsa bölgesel veya uluslararası STÖ'ler ile çalışarak onların adına bilgi sunabilir böylece ulusal STÖ'nün katılımı gizli tutulmuş olur. </w:t>
            </w:r>
          </w:p>
          <w:p w:rsidR="00000000" w:rsidDel="00000000" w:rsidP="00000000" w:rsidRDefault="00000000" w:rsidRPr="00000000" w14:paraId="00000049">
            <w:pPr>
              <w:rPr/>
            </w:pPr>
            <w:r w:rsidDel="00000000" w:rsidR="00000000" w:rsidRPr="00000000">
              <w:rPr>
                <w:rtl w:val="0"/>
              </w:rPr>
            </w:r>
          </w:p>
        </w:tc>
        <w:tc>
          <w:tcPr/>
          <w:p w:rsidR="00000000" w:rsidDel="00000000" w:rsidP="00000000" w:rsidRDefault="00000000" w:rsidRPr="00000000" w14:paraId="0000004A">
            <w:pPr>
              <w:rPr/>
            </w:pPr>
            <w:r w:rsidDel="00000000" w:rsidR="00000000" w:rsidRPr="00000000">
              <w:rPr>
                <w:rtl w:val="0"/>
              </w:rPr>
              <w:t xml:space="preserve">Orta derecede: SP’lere bilgi sunan STÖ isimleri iletişimler içinde gizlidir ve STÖ’ler raporlar için sundukları bilgilerin web sitesinden yayınlanmamasını talep edebilirler. Mağdurların isimleri ilgili devlet ile paylaşılacaktır ancak kamuya açıklandığında iletişimden çıkarılabilir.</w:t>
            </w:r>
          </w:p>
        </w:tc>
        <w:tc>
          <w:tcPr/>
          <w:p w:rsidR="00000000" w:rsidDel="00000000" w:rsidP="00000000" w:rsidRDefault="00000000" w:rsidRPr="00000000" w14:paraId="0000004B">
            <w:pPr>
              <w:rPr/>
            </w:pPr>
            <w:r w:rsidDel="00000000" w:rsidR="00000000" w:rsidRPr="00000000">
              <w:rPr>
                <w:rtl w:val="0"/>
              </w:rPr>
            </w:r>
          </w:p>
        </w:tc>
        <w:tc>
          <w:tcPr/>
          <w:p w:rsidR="00000000" w:rsidDel="00000000" w:rsidP="00000000" w:rsidRDefault="00000000" w:rsidRPr="00000000" w14:paraId="0000004C">
            <w:pPr>
              <w:rPr/>
            </w:pPr>
            <w:r w:rsidDel="00000000" w:rsidR="00000000" w:rsidRPr="00000000">
              <w:rPr>
                <w:rtl w:val="0"/>
              </w:rPr>
              <w:t xml:space="preserve">Orta derecede: STÖ’ler tarafından sunulan bilgiler BM web sitesinde yayınlanır ve hükümetinizin haberi olur. Ulusal STÖ’lerin güvenlik endişeleri varsa bölgesel veya uluslararası STÖ’ler ile birlikte çalışarak onların adına bilgi sunulabilir ve ulusal STÖ’nün katılımını gizli tutarak devletler nezdinde lobi yapabilirler. </w:t>
            </w:r>
          </w:p>
        </w:tc>
      </w:tr>
    </w:tbl>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sectPr>
      <w:headerReference r:id="rId10" w:type="default"/>
      <w:pgSz w:h="12240" w:w="15840" w:orient="landscape"/>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Ebru HANBAY" w:id="0" w:date="2025-06-24T13:06:58Z">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50"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pStyle w:val="Heading1"/>
      <w:tabs>
        <w:tab w:val="center" w:leader="none" w:pos="4680"/>
        <w:tab w:val="right" w:leader="none" w:pos="9360"/>
      </w:tabs>
      <w:spacing w:after="0" w:line="240" w:lineRule="auto"/>
      <w:rPr>
        <w:vertAlign w:val="baseline"/>
      </w:rPr>
    </w:pPr>
    <w:bookmarkStart w:colFirst="0" w:colLast="0" w:name="_heading=h.5eiiephd5ifn" w:id="0"/>
    <w:bookmarkEnd w:id="0"/>
    <w:r w:rsidDel="00000000" w:rsidR="00000000" w:rsidRPr="00000000">
      <w:rPr>
        <w:vertAlign w:val="baseline"/>
        <w:rtl w:val="0"/>
      </w:rPr>
      <w:t xml:space="preserve">BM Mekanizmaları </w:t>
    </w:r>
    <w:r w:rsidDel="00000000" w:rsidR="00000000" w:rsidRPr="00000000">
      <w:rPr>
        <w:rtl w:val="0"/>
      </w:rPr>
      <w:t xml:space="preserve">K</w:t>
    </w:r>
    <w:r w:rsidDel="00000000" w:rsidR="00000000" w:rsidRPr="00000000">
      <w:rPr>
        <w:vertAlign w:val="baseline"/>
        <w:rtl w:val="0"/>
      </w:rPr>
      <w:t xml:space="preserve">arşılaştırmalı</w:t>
    </w:r>
    <w:r w:rsidDel="00000000" w:rsidR="00000000" w:rsidRPr="00000000">
      <w:rPr>
        <w:rtl w:val="0"/>
      </w:rPr>
      <w:t xml:space="preserve"> Özet</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tr-TR"/>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tabs>
        <w:tab w:val="center" w:leader="none" w:pos="4680"/>
        <w:tab w:val="right" w:leader="none" w:pos="9360"/>
      </w:tabs>
      <w:spacing w:after="0" w:line="240" w:lineRule="auto"/>
    </w:pPr>
    <w:rPr>
      <w:rFonts w:ascii="Times New Roman" w:cs="Times New Roman" w:eastAsia="Times New Roman" w:hAnsi="Times New Roman"/>
      <w:color w:val="073763"/>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B753AB"/>
  </w:style>
  <w:style w:type="paragraph" w:styleId="Heading1">
    <w:name w:val="heading 1"/>
    <w:basedOn w:val="Normal"/>
    <w:next w:val="Normal"/>
    <w:link w:val="Heading1Char"/>
    <w:uiPriority w:val="9"/>
    <w:qFormat w:val="1"/>
    <w:rsid w:val="00CC0516"/>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CC0516"/>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CC0516"/>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CC0516"/>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CC0516"/>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CC0516"/>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CC0516"/>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CC0516"/>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CC0516"/>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CC0516"/>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CC0516"/>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CC0516"/>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CC0516"/>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CC0516"/>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CC0516"/>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CC0516"/>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CC0516"/>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CC0516"/>
    <w:rPr>
      <w:rFonts w:cstheme="majorBidi" w:eastAsiaTheme="majorEastAsia"/>
      <w:color w:val="272727" w:themeColor="text1" w:themeTint="0000D8"/>
    </w:rPr>
  </w:style>
  <w:style w:type="paragraph" w:styleId="Title">
    <w:name w:val="Title"/>
    <w:basedOn w:val="Normal"/>
    <w:next w:val="Normal"/>
    <w:link w:val="TitleChar"/>
    <w:uiPriority w:val="10"/>
    <w:qFormat w:val="1"/>
    <w:rsid w:val="00CC0516"/>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CC0516"/>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CC0516"/>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CC0516"/>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CC0516"/>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CC0516"/>
    <w:rPr>
      <w:i w:val="1"/>
      <w:iCs w:val="1"/>
      <w:color w:val="404040" w:themeColor="text1" w:themeTint="0000BF"/>
    </w:rPr>
  </w:style>
  <w:style w:type="paragraph" w:styleId="ListParagraph">
    <w:name w:val="List Paragraph"/>
    <w:basedOn w:val="Normal"/>
    <w:uiPriority w:val="34"/>
    <w:qFormat w:val="1"/>
    <w:rsid w:val="00CC0516"/>
    <w:pPr>
      <w:ind w:left="720"/>
      <w:contextualSpacing w:val="1"/>
    </w:pPr>
  </w:style>
  <w:style w:type="character" w:styleId="IntenseEmphasis">
    <w:name w:val="Intense Emphasis"/>
    <w:basedOn w:val="DefaultParagraphFont"/>
    <w:uiPriority w:val="21"/>
    <w:qFormat w:val="1"/>
    <w:rsid w:val="00CC0516"/>
    <w:rPr>
      <w:i w:val="1"/>
      <w:iCs w:val="1"/>
      <w:color w:val="0f4761" w:themeColor="accent1" w:themeShade="0000BF"/>
    </w:rPr>
  </w:style>
  <w:style w:type="paragraph" w:styleId="IntenseQuote">
    <w:name w:val="Intense Quote"/>
    <w:basedOn w:val="Normal"/>
    <w:next w:val="Normal"/>
    <w:link w:val="IntenseQuoteChar"/>
    <w:uiPriority w:val="30"/>
    <w:qFormat w:val="1"/>
    <w:rsid w:val="00CC0516"/>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CC0516"/>
    <w:rPr>
      <w:i w:val="1"/>
      <w:iCs w:val="1"/>
      <w:color w:val="0f4761" w:themeColor="accent1" w:themeShade="0000BF"/>
    </w:rPr>
  </w:style>
  <w:style w:type="character" w:styleId="IntenseReference">
    <w:name w:val="Intense Reference"/>
    <w:basedOn w:val="DefaultParagraphFont"/>
    <w:uiPriority w:val="32"/>
    <w:qFormat w:val="1"/>
    <w:rsid w:val="00CC0516"/>
    <w:rPr>
      <w:b w:val="1"/>
      <w:bCs w:val="1"/>
      <w:smallCaps w:val="1"/>
      <w:color w:val="0f4761" w:themeColor="accent1" w:themeShade="0000BF"/>
      <w:spacing w:val="5"/>
    </w:rPr>
  </w:style>
  <w:style w:type="paragraph" w:styleId="Header">
    <w:name w:val="header"/>
    <w:basedOn w:val="Normal"/>
    <w:link w:val="HeaderChar"/>
    <w:uiPriority w:val="99"/>
    <w:unhideWhenUsed w:val="1"/>
    <w:rsid w:val="00CC0516"/>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0516"/>
  </w:style>
  <w:style w:type="paragraph" w:styleId="Footer">
    <w:name w:val="footer"/>
    <w:basedOn w:val="Normal"/>
    <w:link w:val="FooterChar"/>
    <w:uiPriority w:val="99"/>
    <w:unhideWhenUsed w:val="1"/>
    <w:rsid w:val="00CC0516"/>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516"/>
  </w:style>
  <w:style w:type="table" w:styleId="TableGrid">
    <w:name w:val="Table Grid"/>
    <w:basedOn w:val="TableNormal"/>
    <w:uiPriority w:val="39"/>
    <w:rsid w:val="00CC051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98444F"/>
    <w:rPr>
      <w:color w:val="467886" w:themeColor="hyperlink"/>
      <w:u w:val="single"/>
    </w:rPr>
  </w:style>
  <w:style w:type="character" w:styleId="UnresolvedMention">
    <w:name w:val="Unresolved Mention"/>
    <w:basedOn w:val="DefaultParagraphFont"/>
    <w:uiPriority w:val="99"/>
    <w:semiHidden w:val="1"/>
    <w:unhideWhenUsed w:val="1"/>
    <w:rsid w:val="0098444F"/>
    <w:rPr>
      <w:color w:val="605e5c"/>
      <w:shd w:color="auto" w:fill="e1dfdd" w:val="clear"/>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header" Target="header1.xml"/><Relationship Id="rId9" Type="http://schemas.openxmlformats.org/officeDocument/2006/relationships/hyperlink" Target="https://www.ohchr.org/en/treaty-bodies/follow-concluding-observations"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sooqjm8If/N/g5wQp3XRVmS8mQ==">CgMxLjAaJwoBMBIiCiAIBCocCgtBQUFCbVdGRGtTNBAIGgtBQUFCbVdGRGtTNCLVAQoLQUFBQm1XRkRrUzQSowEKC0FBQUJtV0ZEa1M0EgtBQUFCbVdGRGtTNBoOCgl0ZXh0L2h0bWwSAT8iDwoKdGV4dC9wbGFpbhIBPyobIhUxMDA3NzY1OTg5OTA1NzExMDE3NDYoADgAMKyGspD6MjishrKQ+jJKEgoKdGV4dC9wbGFpbhIExLB5aVoMbnJyNTVwdWJxcHJjcgIgAHgAmgEGCAAQABgAqgEDEgE/sAEAuAEAGKyGspD6MiCshrKQ+jIwAEIQa2l4LmRqdXByMnB1MmQ5ODIOaC41ZWlpZXBoZDVpZm44AHIhMVpmVFpkS2xUWXpDY1hyMWZCcjR5dUR4NUNvQnY5LV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2025-04-21T04:50:00Z</dcterms:created>
  <dc:creator>Adem Arkadaş-Thibert</dc:creator>
</cp:coreProperties>
</file>