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C2011" w:rsidRPr="00376F57" w14:paraId="3A46E53B" w14:textId="77777777" w:rsidTr="00426F0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34460" w14:textId="1A194E02" w:rsidR="00EC2011" w:rsidRPr="00376F57" w:rsidRDefault="00EC2011" w:rsidP="00426F00">
            <w:pPr>
              <w:pStyle w:val="SingleTxt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2F0F1" w14:textId="33A30CBF" w:rsidR="00EC2011" w:rsidRPr="00376F57" w:rsidRDefault="00EC2011" w:rsidP="00426F00">
            <w:pPr>
              <w:spacing w:after="80" w:line="3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20DC4" w14:textId="77777777" w:rsidR="00EC2011" w:rsidRPr="00376F57" w:rsidRDefault="00F36E7C" w:rsidP="00F36E7C">
            <w:pPr>
              <w:spacing w:after="20" w:line="240" w:lineRule="atLeast"/>
              <w:jc w:val="right"/>
            </w:pPr>
            <w:r w:rsidRPr="00376F57">
              <w:rPr>
                <w:sz w:val="40"/>
              </w:rPr>
              <w:t>A</w:t>
            </w:r>
            <w:r w:rsidRPr="00376F57">
              <w:t>/HRC/50/39</w:t>
            </w:r>
          </w:p>
        </w:tc>
      </w:tr>
      <w:tr w:rsidR="00EC2011" w:rsidRPr="00376F57" w14:paraId="2B7AEB76" w14:textId="77777777" w:rsidTr="00426F00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D4D7C8" w14:textId="2FE9B3CA" w:rsidR="00EC2011" w:rsidRPr="00376F57" w:rsidRDefault="00EC2011" w:rsidP="00426F00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66FB36" w14:textId="3C3DF4EB" w:rsidR="00EC2011" w:rsidRPr="00376F57" w:rsidRDefault="00BC7248" w:rsidP="00426F00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BFFB25" w14:textId="254C375E" w:rsidR="00EC2011" w:rsidRPr="00376F57" w:rsidRDefault="00F36E7C" w:rsidP="00F36E7C">
            <w:pPr>
              <w:spacing w:before="240"/>
            </w:pPr>
            <w:r w:rsidRPr="00376F57">
              <w:t>Distr.:</w:t>
            </w:r>
            <w:r w:rsidR="00883178">
              <w:t xml:space="preserve"> </w:t>
            </w:r>
            <w:r w:rsidRPr="00376F57">
              <w:t>General</w:t>
            </w:r>
          </w:p>
          <w:p w14:paraId="21127A95" w14:textId="6E4BBA7D" w:rsidR="00F36E7C" w:rsidRPr="00376F57" w:rsidRDefault="00A51FFF" w:rsidP="00F36E7C">
            <w:r>
              <w:t>2</w:t>
            </w:r>
            <w:r w:rsidR="00B1675F">
              <w:t>4</w:t>
            </w:r>
            <w:r w:rsidR="00883178">
              <w:t xml:space="preserve"> </w:t>
            </w:r>
            <w:r w:rsidR="00F36E7C" w:rsidRPr="00376F57">
              <w:t>June</w:t>
            </w:r>
            <w:r w:rsidR="00883178">
              <w:t xml:space="preserve"> </w:t>
            </w:r>
            <w:r w:rsidR="00F36E7C" w:rsidRPr="00376F57">
              <w:t>2022</w:t>
            </w:r>
          </w:p>
          <w:p w14:paraId="5CF56C2F" w14:textId="77777777" w:rsidR="00F36E7C" w:rsidRPr="00376F57" w:rsidRDefault="00F36E7C" w:rsidP="00F36E7C"/>
          <w:p w14:paraId="4E4440E8" w14:textId="7F1D41A2" w:rsidR="00F36E7C" w:rsidRPr="00376F57" w:rsidRDefault="00F36E7C" w:rsidP="00F36E7C">
            <w:pPr>
              <w:spacing w:line="240" w:lineRule="atLeast"/>
            </w:pPr>
            <w:r w:rsidRPr="00376F57">
              <w:t>Original:</w:t>
            </w:r>
            <w:r w:rsidR="00883178">
              <w:t xml:space="preserve"> </w:t>
            </w:r>
            <w:r w:rsidRPr="00376F57">
              <w:t>English</w:t>
            </w:r>
          </w:p>
        </w:tc>
      </w:tr>
    </w:tbl>
    <w:p w14:paraId="3E7D4E4F" w14:textId="5F0C2BB7" w:rsidR="00F36E7C" w:rsidRPr="00376F57" w:rsidRDefault="00F36E7C" w:rsidP="00F36E7C">
      <w:pPr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eastAsia="Calibri"/>
          <w:b/>
          <w:bCs/>
          <w:sz w:val="24"/>
          <w:szCs w:val="24"/>
        </w:rPr>
      </w:pPr>
      <w:r w:rsidRPr="00376F57">
        <w:rPr>
          <w:rFonts w:eastAsia="Calibri"/>
          <w:b/>
          <w:bCs/>
          <w:sz w:val="24"/>
          <w:szCs w:val="24"/>
        </w:rPr>
        <w:t>Human</w:t>
      </w:r>
      <w:r w:rsidR="00883178">
        <w:rPr>
          <w:rFonts w:eastAsia="Calibri"/>
          <w:b/>
          <w:bCs/>
          <w:sz w:val="24"/>
          <w:szCs w:val="24"/>
        </w:rPr>
        <w:t xml:space="preserve"> </w:t>
      </w:r>
      <w:r w:rsidRPr="00376F57">
        <w:rPr>
          <w:rFonts w:eastAsia="Calibri"/>
          <w:b/>
          <w:bCs/>
          <w:sz w:val="24"/>
          <w:szCs w:val="24"/>
        </w:rPr>
        <w:t>Rights</w:t>
      </w:r>
      <w:r w:rsidR="00883178">
        <w:rPr>
          <w:rFonts w:eastAsia="Calibri"/>
          <w:b/>
          <w:bCs/>
          <w:sz w:val="24"/>
          <w:szCs w:val="24"/>
        </w:rPr>
        <w:t xml:space="preserve"> </w:t>
      </w:r>
      <w:r w:rsidRPr="00376F57">
        <w:rPr>
          <w:rFonts w:eastAsia="Calibri"/>
          <w:b/>
          <w:bCs/>
          <w:sz w:val="24"/>
          <w:szCs w:val="24"/>
        </w:rPr>
        <w:t>Council</w:t>
      </w:r>
    </w:p>
    <w:p w14:paraId="6831FC59" w14:textId="5585221C" w:rsidR="00F36E7C" w:rsidRPr="00376F57" w:rsidRDefault="00F36E7C" w:rsidP="00F36E7C">
      <w:pPr>
        <w:kinsoku w:val="0"/>
        <w:overflowPunct w:val="0"/>
        <w:autoSpaceDE w:val="0"/>
        <w:autoSpaceDN w:val="0"/>
        <w:adjustRightInd w:val="0"/>
        <w:snapToGrid w:val="0"/>
        <w:rPr>
          <w:rFonts w:eastAsia="Calibri"/>
          <w:b/>
          <w:bCs/>
        </w:rPr>
      </w:pPr>
      <w:r w:rsidRPr="00376F57">
        <w:rPr>
          <w:b/>
          <w:bCs/>
          <w:color w:val="000000" w:themeColor="text1"/>
        </w:rPr>
        <w:t>Fiftieth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session</w:t>
      </w:r>
      <w:r w:rsidR="00883178">
        <w:rPr>
          <w:rFonts w:eastAsia="Calibri"/>
          <w:b/>
          <w:bCs/>
        </w:rPr>
        <w:t xml:space="preserve"> </w:t>
      </w:r>
    </w:p>
    <w:p w14:paraId="60AABF64" w14:textId="48FED152" w:rsidR="00F36E7C" w:rsidRPr="00376F57" w:rsidRDefault="00F36E7C" w:rsidP="00F36E7C">
      <w:pPr>
        <w:kinsoku w:val="0"/>
        <w:overflowPunct w:val="0"/>
        <w:autoSpaceDE w:val="0"/>
        <w:autoSpaceDN w:val="0"/>
        <w:adjustRightInd w:val="0"/>
        <w:snapToGrid w:val="0"/>
        <w:rPr>
          <w:rFonts w:eastAsia="Calibri"/>
        </w:rPr>
      </w:pPr>
      <w:r w:rsidRPr="00376F57">
        <w:rPr>
          <w:rFonts w:eastAsia="Calibri"/>
        </w:rPr>
        <w:t>13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June–8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July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2022</w:t>
      </w:r>
    </w:p>
    <w:p w14:paraId="117D5019" w14:textId="379F8E73" w:rsidR="00F36E7C" w:rsidRPr="00376F57" w:rsidRDefault="00F36E7C" w:rsidP="00F36E7C">
      <w:pPr>
        <w:kinsoku w:val="0"/>
        <w:overflowPunct w:val="0"/>
        <w:autoSpaceDE w:val="0"/>
        <w:autoSpaceDN w:val="0"/>
        <w:adjustRightInd w:val="0"/>
        <w:snapToGrid w:val="0"/>
        <w:rPr>
          <w:rFonts w:eastAsia="Calibri"/>
        </w:rPr>
      </w:pPr>
      <w:r w:rsidRPr="00376F57">
        <w:rPr>
          <w:rFonts w:eastAsia="Calibri"/>
        </w:rPr>
        <w:t>Agenda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item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3</w:t>
      </w:r>
    </w:p>
    <w:p w14:paraId="0F7690B9" w14:textId="2FDC25D8" w:rsidR="00F36E7C" w:rsidRPr="00376F57" w:rsidRDefault="00F36E7C" w:rsidP="00F36E7C">
      <w:pPr>
        <w:kinsoku w:val="0"/>
        <w:overflowPunct w:val="0"/>
        <w:autoSpaceDE w:val="0"/>
        <w:autoSpaceDN w:val="0"/>
        <w:adjustRightInd w:val="0"/>
        <w:snapToGrid w:val="0"/>
        <w:rPr>
          <w:rFonts w:eastAsia="Calibri"/>
          <w:b/>
          <w:bCs/>
        </w:rPr>
      </w:pPr>
      <w:r w:rsidRPr="00376F57">
        <w:rPr>
          <w:rFonts w:eastAsia="Calibri"/>
          <w:b/>
          <w:bCs/>
        </w:rPr>
        <w:t>Promotion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and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protection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of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all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human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rights,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civil,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br/>
        <w:t>political,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economic,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social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and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cultural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rights,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br/>
        <w:t>including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the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right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to</w:t>
      </w:r>
      <w:r w:rsidR="00883178">
        <w:rPr>
          <w:rFonts w:eastAsia="Calibri"/>
          <w:b/>
          <w:bCs/>
        </w:rPr>
        <w:t xml:space="preserve"> </w:t>
      </w:r>
      <w:r w:rsidRPr="00376F57">
        <w:rPr>
          <w:rFonts w:eastAsia="Calibri"/>
          <w:b/>
          <w:bCs/>
        </w:rPr>
        <w:t>development</w:t>
      </w:r>
    </w:p>
    <w:p w14:paraId="529AC12D" w14:textId="577778AE" w:rsidR="00F36E7C" w:rsidRPr="00376F57" w:rsidRDefault="00F36E7C" w:rsidP="00FE159F">
      <w:pPr>
        <w:pStyle w:val="HChG"/>
        <w:outlineLvl w:val="0"/>
        <w:rPr>
          <w:rFonts w:eastAsia="Calibri"/>
          <w:lang w:bidi="ar-BH"/>
        </w:rPr>
      </w:pPr>
      <w:r w:rsidRPr="00376F57">
        <w:rPr>
          <w:rFonts w:eastAsia="Arial Unicode MS"/>
          <w:u w:color="000000"/>
        </w:rPr>
        <w:tab/>
      </w:r>
      <w:r w:rsidRPr="00376F57">
        <w:rPr>
          <w:rFonts w:eastAsia="Arial Unicode MS"/>
          <w:u w:color="000000"/>
        </w:rPr>
        <w:tab/>
      </w:r>
      <w:r w:rsidRPr="00376F57">
        <w:rPr>
          <w:rFonts w:eastAsia="Calibri"/>
          <w:lang w:bidi="ar-BH"/>
        </w:rPr>
        <w:t>Initial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planning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and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vision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for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the</w:t>
      </w:r>
      <w:r w:rsidR="00883178">
        <w:rPr>
          <w:rFonts w:eastAsia="Calibri"/>
          <w:lang w:bidi="ar-BH"/>
        </w:rPr>
        <w:t xml:space="preserve"> </w:t>
      </w:r>
      <w:r w:rsidRPr="00376F57">
        <w:rPr>
          <w:rFonts w:eastAsia="Calibri"/>
          <w:lang w:bidi="ar-BH"/>
        </w:rPr>
        <w:t>mandate</w:t>
      </w:r>
    </w:p>
    <w:p w14:paraId="15F1CF7D" w14:textId="3851B351" w:rsidR="00F36E7C" w:rsidRPr="00376F57" w:rsidRDefault="00F36E7C" w:rsidP="00FE159F">
      <w:pPr>
        <w:pStyle w:val="H1G"/>
        <w:outlineLvl w:val="1"/>
        <w:rPr>
          <w:rFonts w:eastAsia="Calibri"/>
          <w:bCs/>
        </w:rPr>
      </w:pPr>
      <w:r w:rsidRPr="00376F57">
        <w:rPr>
          <w:rFonts w:eastAsia="Calibri"/>
          <w:u w:color="000000"/>
        </w:rPr>
        <w:tab/>
      </w:r>
      <w:r w:rsidRPr="00376F57">
        <w:rPr>
          <w:rFonts w:eastAsia="Calibri"/>
          <w:u w:color="000000"/>
        </w:rPr>
        <w:tab/>
      </w:r>
      <w:bookmarkStart w:id="1" w:name="_Toc100061666"/>
      <w:r w:rsidRPr="00376F57">
        <w:rPr>
          <w:rFonts w:eastAsia="Calibri"/>
          <w:bCs/>
        </w:rPr>
        <w:t>Report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of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the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Special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Rapporteur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on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the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promotion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and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protection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of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human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rights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in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the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context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of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climate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change,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Ian</w:t>
      </w:r>
      <w:r w:rsidR="00883178">
        <w:rPr>
          <w:rFonts w:eastAsia="Calibri"/>
          <w:bCs/>
        </w:rPr>
        <w:t xml:space="preserve"> </w:t>
      </w:r>
      <w:r w:rsidRPr="00376F57">
        <w:rPr>
          <w:rFonts w:eastAsia="Calibri"/>
          <w:bCs/>
        </w:rPr>
        <w:t>Fry</w:t>
      </w:r>
      <w:bookmarkEnd w:id="1"/>
      <w:r w:rsidRPr="00376F57">
        <w:rPr>
          <w:rFonts w:eastAsia="Calibri"/>
          <w:b w:val="0"/>
          <w:sz w:val="20"/>
        </w:rPr>
        <w:footnoteReference w:customMarkFollows="1" w:id="2"/>
        <w:t>*</w:t>
      </w:r>
    </w:p>
    <w:tbl>
      <w:tblPr>
        <w:tblStyle w:val="TableGrid"/>
        <w:tblW w:w="0" w:type="auto"/>
        <w:jc w:val="center"/>
        <w:tblLook w:val="05E0" w:firstRow="1" w:lastRow="1" w:firstColumn="1" w:lastColumn="1" w:noHBand="0" w:noVBand="1"/>
      </w:tblPr>
      <w:tblGrid>
        <w:gridCol w:w="9629"/>
      </w:tblGrid>
      <w:tr w:rsidR="00F36E7C" w:rsidRPr="00376F57" w14:paraId="16A177B5" w14:textId="77777777" w:rsidTr="00F36E7C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3AE8F8E7" w14:textId="1932805B" w:rsidR="00F36E7C" w:rsidRPr="00376F57" w:rsidRDefault="00F36E7C" w:rsidP="00F36E7C">
            <w:pPr>
              <w:tabs>
                <w:tab w:val="left" w:pos="255"/>
              </w:tabs>
              <w:suppressAutoHyphens w:val="0"/>
              <w:spacing w:before="240" w:after="120" w:line="240" w:lineRule="atLeast"/>
              <w:rPr>
                <w:sz w:val="24"/>
              </w:rPr>
            </w:pPr>
            <w:r w:rsidRPr="00376F57">
              <w:tab/>
            </w:r>
            <w:r w:rsidRPr="00376F57">
              <w:rPr>
                <w:i/>
                <w:sz w:val="24"/>
              </w:rPr>
              <w:t>Summary</w:t>
            </w:r>
          </w:p>
        </w:tc>
      </w:tr>
      <w:tr w:rsidR="00F36E7C" w:rsidRPr="00376F57" w14:paraId="2743DF4B" w14:textId="77777777" w:rsidTr="00F36E7C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4B7A20A9" w14:textId="77CBAF02" w:rsidR="00F36E7C" w:rsidRPr="00376F57" w:rsidRDefault="00F36E7C" w:rsidP="00F36E7C">
            <w:pPr>
              <w:pStyle w:val="SingleTxtG"/>
            </w:pPr>
            <w:r w:rsidRPr="00376F57">
              <w:tab/>
              <w:t>The</w:t>
            </w:r>
            <w:r w:rsidR="00883178">
              <w:t xml:space="preserve"> </w:t>
            </w:r>
            <w:r w:rsidRPr="00376F57">
              <w:t>report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Special</w:t>
            </w:r>
            <w:r w:rsidR="00883178">
              <w:t xml:space="preserve"> </w:t>
            </w:r>
            <w:r w:rsidRPr="00376F57">
              <w:t>Rapporteur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promotion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protection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context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is</w:t>
            </w:r>
            <w:r w:rsidR="00883178">
              <w:t xml:space="preserve"> </w:t>
            </w:r>
            <w:r w:rsidRPr="00376F57">
              <w:t>submitted</w:t>
            </w:r>
            <w:r w:rsidR="00883178">
              <w:t xml:space="preserve"> </w:t>
            </w:r>
            <w:r w:rsidRPr="00376F57">
              <w:t>pursuant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Council</w:t>
            </w:r>
            <w:r w:rsidR="00883178">
              <w:t xml:space="preserve"> </w:t>
            </w:r>
            <w:r w:rsidRPr="00376F57">
              <w:t>resolution</w:t>
            </w:r>
            <w:r w:rsidR="00883178">
              <w:t xml:space="preserve"> </w:t>
            </w:r>
            <w:r w:rsidRPr="00376F57">
              <w:t>48/14.</w:t>
            </w:r>
            <w:r w:rsidR="00883178">
              <w:t xml:space="preserve"> </w:t>
            </w:r>
            <w:r w:rsidRPr="00376F57">
              <w:t>As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Special</w:t>
            </w:r>
            <w:r w:rsidR="00883178">
              <w:t xml:space="preserve"> </w:t>
            </w:r>
            <w:r w:rsidRPr="00376F57">
              <w:t>Rapporteur</w:t>
            </w:r>
            <w:r w:rsidR="00883178">
              <w:t xml:space="preserve"> </w:t>
            </w:r>
            <w:r w:rsidRPr="00376F57">
              <w:t>took</w:t>
            </w:r>
            <w:r w:rsidR="00883178">
              <w:t xml:space="preserve"> </w:t>
            </w:r>
            <w:r w:rsidRPr="00376F57">
              <w:t>up</w:t>
            </w:r>
            <w:r w:rsidR="00883178">
              <w:t xml:space="preserve"> </w:t>
            </w:r>
            <w:r w:rsidRPr="00376F57">
              <w:t>his</w:t>
            </w:r>
            <w:r w:rsidR="00883178">
              <w:t xml:space="preserve"> </w:t>
            </w:r>
            <w:r w:rsidRPr="00376F57">
              <w:t>mandate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1</w:t>
            </w:r>
            <w:r w:rsidR="00883178">
              <w:t xml:space="preserve"> </w:t>
            </w:r>
            <w:r w:rsidRPr="00376F57">
              <w:t>May</w:t>
            </w:r>
            <w:r w:rsidR="00883178">
              <w:t xml:space="preserve"> </w:t>
            </w:r>
            <w:r w:rsidRPr="00376F57">
              <w:t>2022,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present</w:t>
            </w:r>
            <w:r w:rsidR="00883178">
              <w:t xml:space="preserve"> </w:t>
            </w:r>
            <w:r w:rsidRPr="00376F57">
              <w:t>report</w:t>
            </w:r>
            <w:r w:rsidR="00883178">
              <w:t xml:space="preserve"> </w:t>
            </w:r>
            <w:r w:rsidRPr="00376F57">
              <w:t>is</w:t>
            </w:r>
            <w:r w:rsidR="00883178">
              <w:t xml:space="preserve"> </w:t>
            </w:r>
            <w:r w:rsidRPr="00376F57">
              <w:t>preliminary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nature.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report,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Special</w:t>
            </w:r>
            <w:r w:rsidR="00883178">
              <w:t xml:space="preserve"> </w:t>
            </w:r>
            <w:r w:rsidRPr="00376F57">
              <w:t>Rapporteur</w:t>
            </w:r>
            <w:r w:rsidR="00883178">
              <w:t xml:space="preserve"> </w:t>
            </w:r>
            <w:r w:rsidRPr="00376F57">
              <w:t>identifies</w:t>
            </w:r>
            <w:r w:rsidR="00883178">
              <w:t xml:space="preserve"> </w:t>
            </w:r>
            <w:r w:rsidRPr="00376F57">
              <w:t>six</w:t>
            </w:r>
            <w:r w:rsidR="00883178">
              <w:t xml:space="preserve"> </w:t>
            </w:r>
            <w:r w:rsidRPr="00376F57">
              <w:t>thematic</w:t>
            </w:r>
            <w:r w:rsidR="00883178">
              <w:t xml:space="preserve"> </w:t>
            </w:r>
            <w:r w:rsidRPr="00376F57">
              <w:t>priorities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which</w:t>
            </w:r>
            <w:r w:rsidR="00883178">
              <w:t xml:space="preserve"> </w:t>
            </w:r>
            <w:r w:rsidRPr="00376F57">
              <w:t>he</w:t>
            </w:r>
            <w:r w:rsidR="00883178">
              <w:t xml:space="preserve"> </w:t>
            </w:r>
            <w:r w:rsidRPr="00376F57">
              <w:t>will</w:t>
            </w:r>
            <w:r w:rsidR="00883178">
              <w:t xml:space="preserve"> </w:t>
            </w:r>
            <w:r w:rsidRPr="00376F57">
              <w:t>focus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during</w:t>
            </w:r>
            <w:r w:rsidR="00883178">
              <w:t xml:space="preserve"> </w:t>
            </w:r>
            <w:r w:rsidRPr="00376F57">
              <w:t>his</w:t>
            </w:r>
            <w:r w:rsidR="00883178">
              <w:t xml:space="preserve"> </w:t>
            </w:r>
            <w:r w:rsidRPr="00376F57">
              <w:t>mandate,</w:t>
            </w:r>
            <w:r w:rsidR="00883178">
              <w:t xml:space="preserve"> </w:t>
            </w:r>
            <w:r w:rsidRPr="00376F57">
              <w:t>as</w:t>
            </w:r>
            <w:r w:rsidR="00883178">
              <w:t xml:space="preserve"> </w:t>
            </w:r>
            <w:r w:rsidRPr="00376F57">
              <w:t>follows:</w:t>
            </w:r>
            <w:r w:rsidR="00883178">
              <w:t xml:space="preserve"> </w:t>
            </w:r>
            <w:r w:rsidRPr="00376F57">
              <w:t>(a)</w:t>
            </w:r>
            <w:r w:rsidR="00883178">
              <w:t xml:space="preserve"> </w:t>
            </w:r>
            <w:r w:rsidRPr="00376F57">
              <w:t>promotion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protection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context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mitigation,</w:t>
            </w:r>
            <w:r w:rsidR="00883178">
              <w:t xml:space="preserve"> </w:t>
            </w:r>
            <w:r w:rsidRPr="00376F57">
              <w:t>adaptation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financial</w:t>
            </w:r>
            <w:r w:rsidR="00883178">
              <w:t xml:space="preserve"> </w:t>
            </w:r>
            <w:r w:rsidRPr="00376F57">
              <w:t>actions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address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change,</w:t>
            </w:r>
            <w:r w:rsidR="00883178">
              <w:t xml:space="preserve"> </w:t>
            </w:r>
            <w:r w:rsidRPr="00376F57">
              <w:t>with</w:t>
            </w:r>
            <w:r w:rsidR="00883178">
              <w:t xml:space="preserve"> </w:t>
            </w:r>
            <w:r w:rsidRPr="00376F57">
              <w:t>particular</w:t>
            </w:r>
            <w:r w:rsidR="00883178">
              <w:t xml:space="preserve"> </w:t>
            </w:r>
            <w:r w:rsidRPr="00376F57">
              <w:t>emphasis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loss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damage;</w:t>
            </w:r>
            <w:r w:rsidR="00883178">
              <w:t xml:space="preserve"> </w:t>
            </w:r>
            <w:r w:rsidRPr="00376F57">
              <w:t>(b)</w:t>
            </w:r>
            <w:r w:rsidR="00883178">
              <w:t xml:space="preserve"> </w:t>
            </w:r>
            <w:r w:rsidRPr="00376F57">
              <w:t>ways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address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implications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displacement,</w:t>
            </w:r>
            <w:r w:rsidR="00883178">
              <w:t xml:space="preserve"> </w:t>
            </w:r>
            <w:r w:rsidRPr="00376F57">
              <w:t>including</w:t>
            </w:r>
            <w:r w:rsidR="00883178">
              <w:t xml:space="preserve"> </w:t>
            </w:r>
            <w:r w:rsidRPr="00376F57">
              <w:t>legal</w:t>
            </w:r>
            <w:r w:rsidR="00883178">
              <w:t xml:space="preserve"> </w:t>
            </w:r>
            <w:r w:rsidRPr="00376F57">
              <w:t>protection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people</w:t>
            </w:r>
            <w:r w:rsidR="00883178">
              <w:t xml:space="preserve"> </w:t>
            </w:r>
            <w:r w:rsidRPr="00376F57">
              <w:t>displaced</w:t>
            </w:r>
            <w:r w:rsidR="00883178">
              <w:t xml:space="preserve"> </w:t>
            </w:r>
            <w:r w:rsidRPr="00376F57">
              <w:t>across</w:t>
            </w:r>
            <w:r w:rsidR="00883178">
              <w:t xml:space="preserve"> </w:t>
            </w:r>
            <w:r w:rsidRPr="00376F57">
              <w:t>international</w:t>
            </w:r>
            <w:r w:rsidR="00883178">
              <w:t xml:space="preserve"> </w:t>
            </w:r>
            <w:r w:rsidRPr="00376F57">
              <w:t>borders;</w:t>
            </w:r>
            <w:r w:rsidR="00883178">
              <w:t xml:space="preserve"> </w:t>
            </w:r>
            <w:r w:rsidRPr="00376F57">
              <w:t>(c)</w:t>
            </w:r>
            <w:r w:rsidR="00883178">
              <w:t xml:space="preserve"> </w:t>
            </w:r>
            <w:r w:rsidRPr="00376F57">
              <w:t>exploration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approaches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developing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enhancing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legislation,</w:t>
            </w:r>
            <w:r w:rsidR="00883178">
              <w:t xml:space="preserve"> </w:t>
            </w:r>
            <w:r w:rsidRPr="00376F57">
              <w:t>support</w:t>
            </w:r>
            <w:r w:rsidR="00883178">
              <w:t xml:space="preserve"> </w:t>
            </w:r>
            <w:r w:rsidRPr="00376F57">
              <w:t>for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litigation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advancement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principle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intergenerational</w:t>
            </w:r>
            <w:r w:rsidR="00883178">
              <w:t xml:space="preserve"> </w:t>
            </w:r>
            <w:r w:rsidRPr="00376F57">
              <w:t>justice;</w:t>
            </w:r>
            <w:r w:rsidR="00883178">
              <w:t xml:space="preserve"> </w:t>
            </w:r>
            <w:r w:rsidRPr="00376F57">
              <w:t>(d)</w:t>
            </w:r>
            <w:r w:rsidR="00883178">
              <w:t xml:space="preserve"> </w:t>
            </w:r>
            <w:r w:rsidRPr="00376F57">
              <w:t>corporate</w:t>
            </w:r>
            <w:r w:rsidR="00883178">
              <w:t xml:space="preserve"> </w:t>
            </w:r>
            <w:r w:rsidRPr="00376F57">
              <w:t>accountability</w:t>
            </w:r>
            <w:r w:rsidR="00883178">
              <w:t xml:space="preserve"> </w:t>
            </w:r>
            <w:r w:rsidRPr="00376F57">
              <w:t>with</w:t>
            </w:r>
            <w:r w:rsidR="00883178">
              <w:t xml:space="preserve"> </w:t>
            </w:r>
            <w:r w:rsidRPr="00376F57">
              <w:t>respect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change;</w:t>
            </w:r>
            <w:r w:rsidR="00883178">
              <w:t xml:space="preserve"> </w:t>
            </w:r>
            <w:r w:rsidRPr="00376F57">
              <w:t>(e)</w:t>
            </w:r>
            <w:r w:rsidR="00883178">
              <w:t xml:space="preserve"> </w:t>
            </w:r>
            <w:r w:rsidRPr="00376F57">
              <w:t>protection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through</w:t>
            </w:r>
            <w:r w:rsidR="00883178">
              <w:t xml:space="preserve"> </w:t>
            </w:r>
            <w:r w:rsidRPr="00376F57">
              <w:t>just</w:t>
            </w:r>
            <w:r w:rsidR="00883178">
              <w:t xml:space="preserve"> </w:t>
            </w:r>
            <w:r w:rsidRPr="00376F57">
              <w:t>transition</w:t>
            </w:r>
            <w:r w:rsidR="00883178">
              <w:t xml:space="preserve"> </w:t>
            </w:r>
            <w:r w:rsidRPr="00376F57">
              <w:t>for</w:t>
            </w:r>
            <w:r w:rsidR="00883178">
              <w:t xml:space="preserve"> </w:t>
            </w:r>
            <w:r w:rsidRPr="00376F57">
              <w:t>workers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industries</w:t>
            </w:r>
            <w:r w:rsidR="00883178">
              <w:t xml:space="preserve"> </w:t>
            </w:r>
            <w:r w:rsidRPr="00376F57">
              <w:t>that</w:t>
            </w:r>
            <w:r w:rsidR="00883178">
              <w:t xml:space="preserve"> </w:t>
            </w:r>
            <w:r w:rsidRPr="00376F57">
              <w:t>contribute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change;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(f)</w:t>
            </w:r>
            <w:r w:rsidR="00883178">
              <w:t xml:space="preserve"> </w:t>
            </w:r>
            <w:r w:rsidRPr="00376F57">
              <w:t>exploration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impacts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new</w:t>
            </w:r>
            <w:r w:rsidR="00883178">
              <w:t xml:space="preserve"> </w:t>
            </w:r>
            <w:r w:rsidRPr="00376F57">
              <w:t>technologies</w:t>
            </w:r>
            <w:r w:rsidR="00883178">
              <w:t xml:space="preserve"> </w:t>
            </w:r>
            <w:r w:rsidRPr="00376F57">
              <w:t>associated</w:t>
            </w:r>
            <w:r w:rsidR="00883178">
              <w:t xml:space="preserve"> </w:t>
            </w:r>
            <w:r w:rsidRPr="00376F57">
              <w:t>with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mitigation</w:t>
            </w:r>
            <w:r w:rsidR="00883178">
              <w:t xml:space="preserve"> </w:t>
            </w:r>
            <w:r w:rsidRPr="00376F57">
              <w:t>on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rights.</w:t>
            </w:r>
            <w:r w:rsidR="00883178">
              <w:t xml:space="preserve"> </w:t>
            </w:r>
            <w:r w:rsidRPr="00376F57">
              <w:t>Approaches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finding</w:t>
            </w:r>
            <w:r w:rsidR="00883178">
              <w:t xml:space="preserve"> </w:t>
            </w:r>
            <w:r w:rsidRPr="00376F57">
              <w:t>workable</w:t>
            </w:r>
            <w:r w:rsidR="00883178">
              <w:t xml:space="preserve"> </w:t>
            </w:r>
            <w:r w:rsidRPr="00376F57">
              <w:t>solutions</w:t>
            </w:r>
            <w:r w:rsidR="00883178">
              <w:t xml:space="preserve"> </w:t>
            </w:r>
            <w:r w:rsidRPr="00376F57">
              <w:t>to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complexities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climate</w:t>
            </w:r>
            <w:r w:rsidR="00883178">
              <w:t xml:space="preserve"> </w:t>
            </w:r>
            <w:r w:rsidRPr="00376F57">
              <w:t>change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human</w:t>
            </w:r>
            <w:r w:rsidR="00883178">
              <w:t xml:space="preserve"> </w:t>
            </w:r>
            <w:r w:rsidRPr="00376F57">
              <w:t>rights</w:t>
            </w:r>
            <w:r w:rsidR="00883178">
              <w:t xml:space="preserve"> </w:t>
            </w:r>
            <w:r w:rsidRPr="00376F57">
              <w:t>issues</w:t>
            </w:r>
            <w:r w:rsidR="00883178">
              <w:t xml:space="preserve"> </w:t>
            </w:r>
            <w:r w:rsidRPr="00376F57">
              <w:t>will</w:t>
            </w:r>
            <w:r w:rsidR="00883178">
              <w:t xml:space="preserve"> </w:t>
            </w:r>
            <w:r w:rsidRPr="00376F57">
              <w:t>be</w:t>
            </w:r>
            <w:r w:rsidR="00883178">
              <w:t xml:space="preserve"> </w:t>
            </w:r>
            <w:r w:rsidRPr="00376F57">
              <w:t>developed.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Special</w:t>
            </w:r>
            <w:r w:rsidR="00883178">
              <w:t xml:space="preserve"> </w:t>
            </w:r>
            <w:r w:rsidRPr="00376F57">
              <w:t>Rapporteur</w:t>
            </w:r>
            <w:r w:rsidR="00883178">
              <w:t xml:space="preserve"> </w:t>
            </w:r>
            <w:r w:rsidRPr="00376F57">
              <w:t>will</w:t>
            </w:r>
            <w:r w:rsidR="00883178">
              <w:t xml:space="preserve"> </w:t>
            </w:r>
            <w:r w:rsidRPr="00376F57">
              <w:t>work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collaboration</w:t>
            </w:r>
            <w:r w:rsidR="00883178">
              <w:t xml:space="preserve"> </w:t>
            </w:r>
            <w:r w:rsidRPr="00376F57">
              <w:t>with</w:t>
            </w:r>
            <w:r w:rsidR="00883178">
              <w:t xml:space="preserve"> </w:t>
            </w:r>
            <w:r w:rsidRPr="00376F57">
              <w:t>other</w:t>
            </w:r>
            <w:r w:rsidR="00883178">
              <w:t xml:space="preserve"> </w:t>
            </w:r>
            <w:r w:rsidRPr="00376F57">
              <w:t>special</w:t>
            </w:r>
            <w:r w:rsidR="00883178">
              <w:t xml:space="preserve"> </w:t>
            </w:r>
            <w:r w:rsidRPr="00376F57">
              <w:t>procedure</w:t>
            </w:r>
            <w:r w:rsidR="00883178">
              <w:t xml:space="preserve"> </w:t>
            </w:r>
            <w:r w:rsidRPr="00376F57">
              <w:t>mandate</w:t>
            </w:r>
            <w:r w:rsidR="00883178">
              <w:t xml:space="preserve"> </w:t>
            </w:r>
            <w:r w:rsidRPr="00376F57">
              <w:t>holders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seek</w:t>
            </w:r>
            <w:r w:rsidR="00883178">
              <w:t xml:space="preserve"> </w:t>
            </w:r>
            <w:r w:rsidRPr="00376F57">
              <w:t>inputs</w:t>
            </w:r>
            <w:r w:rsidR="00883178">
              <w:t xml:space="preserve"> </w:t>
            </w:r>
            <w:r w:rsidRPr="00376F57">
              <w:t>from</w:t>
            </w:r>
            <w:r w:rsidR="00883178">
              <w:t xml:space="preserve"> </w:t>
            </w:r>
            <w:r w:rsidRPr="00376F57">
              <w:t>States,</w:t>
            </w:r>
            <w:r w:rsidR="00883178">
              <w:t xml:space="preserve"> </w:t>
            </w:r>
            <w:r w:rsidRPr="00376F57">
              <w:t>civil</w:t>
            </w:r>
            <w:r w:rsidR="00883178">
              <w:t xml:space="preserve"> </w:t>
            </w:r>
            <w:r w:rsidRPr="00376F57">
              <w:t>society</w:t>
            </w:r>
            <w:r w:rsidR="00883178">
              <w:t xml:space="preserve"> </w:t>
            </w:r>
            <w:r w:rsidRPr="00376F57">
              <w:t>organizations,</w:t>
            </w:r>
            <w:r w:rsidR="00883178">
              <w:t xml:space="preserve"> </w:t>
            </w:r>
            <w:r w:rsidRPr="00376F57">
              <w:t>business</w:t>
            </w:r>
            <w:r w:rsidR="00883178">
              <w:t xml:space="preserve"> </w:t>
            </w:r>
            <w:r w:rsidRPr="00376F57">
              <w:t>enterprises</w:t>
            </w:r>
            <w:r w:rsidR="00883178">
              <w:t xml:space="preserve"> </w:t>
            </w:r>
            <w:r w:rsidRPr="00376F57">
              <w:t>and</w:t>
            </w:r>
            <w:r w:rsidR="00883178">
              <w:t xml:space="preserve"> </w:t>
            </w:r>
            <w:r w:rsidRPr="00376F57">
              <w:t>intergovernmental</w:t>
            </w:r>
            <w:r w:rsidR="00883178">
              <w:t xml:space="preserve"> </w:t>
            </w:r>
            <w:r w:rsidRPr="00376F57">
              <w:t>organizations</w:t>
            </w:r>
            <w:r w:rsidR="00883178">
              <w:t xml:space="preserve"> </w:t>
            </w:r>
            <w:r w:rsidRPr="00376F57">
              <w:t>in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advancement</w:t>
            </w:r>
            <w:r w:rsidR="00883178">
              <w:t xml:space="preserve"> </w:t>
            </w:r>
            <w:r w:rsidRPr="00376F57">
              <w:t>of</w:t>
            </w:r>
            <w:r w:rsidR="00883178">
              <w:t xml:space="preserve"> </w:t>
            </w:r>
            <w:r w:rsidRPr="00376F57">
              <w:t>the</w:t>
            </w:r>
            <w:r w:rsidR="00883178">
              <w:t xml:space="preserve"> </w:t>
            </w:r>
            <w:r w:rsidRPr="00376F57">
              <w:t>work.</w:t>
            </w:r>
          </w:p>
        </w:tc>
      </w:tr>
      <w:tr w:rsidR="00F36E7C" w:rsidRPr="00376F57" w14:paraId="54A3ACA2" w14:textId="77777777" w:rsidTr="00F36E7C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71DA094C" w14:textId="77777777" w:rsidR="00F36E7C" w:rsidRPr="00376F57" w:rsidRDefault="00F36E7C" w:rsidP="00F36E7C">
            <w:pPr>
              <w:suppressAutoHyphens w:val="0"/>
              <w:spacing w:line="240" w:lineRule="atLeast"/>
            </w:pPr>
          </w:p>
        </w:tc>
      </w:tr>
    </w:tbl>
    <w:p w14:paraId="2688B957" w14:textId="77777777" w:rsidR="00F36E7C" w:rsidRPr="00376F57" w:rsidRDefault="00F36E7C">
      <w:pPr>
        <w:spacing w:after="200" w:line="276" w:lineRule="auto"/>
      </w:pPr>
      <w:r w:rsidRPr="00376F57">
        <w:br w:type="page"/>
      </w:r>
    </w:p>
    <w:p w14:paraId="19C85A7E" w14:textId="1C1F34F5" w:rsidR="00F36E7C" w:rsidRPr="00376F57" w:rsidRDefault="00F36E7C" w:rsidP="00FE159F">
      <w:pPr>
        <w:pStyle w:val="HChG"/>
        <w:outlineLvl w:val="0"/>
      </w:pPr>
      <w:r w:rsidRPr="00376F57">
        <w:lastRenderedPageBreak/>
        <w:tab/>
        <w:t>I.</w:t>
      </w:r>
      <w:r w:rsidRPr="00376F57">
        <w:tab/>
        <w:t>Introduction</w:t>
      </w:r>
    </w:p>
    <w:p w14:paraId="3644418E" w14:textId="479FFF60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decided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appoint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bookmarkStart w:id="2" w:name="_Hlk99722046"/>
      <w:r w:rsidRPr="00376F57">
        <w:t>the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established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mandate.</w:t>
      </w:r>
      <w:r w:rsidR="00883178">
        <w:t xml:space="preserve"> </w:t>
      </w:r>
      <w:bookmarkEnd w:id="2"/>
      <w:r w:rsidRPr="00376F57">
        <w:t>At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forty-ninth</w:t>
      </w:r>
      <w:r w:rsidR="00883178">
        <w:t xml:space="preserve"> </w:t>
      </w:r>
      <w:r w:rsidRPr="00376F57">
        <w:t>session,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appointed</w:t>
      </w:r>
      <w:r w:rsidR="00883178">
        <w:t xml:space="preserve"> </w:t>
      </w:r>
      <w:r w:rsidRPr="00376F57">
        <w:t>Ian</w:t>
      </w:r>
      <w:r w:rsidR="00883178">
        <w:t xml:space="preserve"> </w:t>
      </w:r>
      <w:r w:rsidRPr="00376F57">
        <w:t>Fry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he</w:t>
      </w:r>
      <w:r w:rsidR="00883178">
        <w:t xml:space="preserve"> </w:t>
      </w:r>
      <w:r w:rsidRPr="00376F57">
        <w:t>took</w:t>
      </w:r>
      <w:r w:rsidR="00883178">
        <w:t xml:space="preserve"> </w:t>
      </w:r>
      <w:r w:rsidRPr="00376F57">
        <w:t>up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position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1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2022.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being</w:t>
      </w:r>
      <w:r w:rsidR="00883178">
        <w:t xml:space="preserve"> </w:t>
      </w:r>
      <w:r w:rsidRPr="00376F57">
        <w:t>submitted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fiftieth</w:t>
      </w:r>
      <w:r w:rsidR="00883178">
        <w:t xml:space="preserve"> </w:t>
      </w:r>
      <w:r w:rsidRPr="00376F57">
        <w:t>session,</w:t>
      </w:r>
      <w:r w:rsidR="00883178">
        <w:t xml:space="preserve"> </w:t>
      </w:r>
      <w:r w:rsidRPr="00376F57">
        <w:t>approximately</w:t>
      </w:r>
      <w:r w:rsidR="00883178">
        <w:t xml:space="preserve"> </w:t>
      </w:r>
      <w:r w:rsidRPr="00376F57">
        <w:t>one</w:t>
      </w:r>
      <w:r w:rsidR="00883178">
        <w:t xml:space="preserve"> </w:t>
      </w:r>
      <w:r w:rsidRPr="00376F57">
        <w:t>month</w:t>
      </w:r>
      <w:r w:rsidR="00883178">
        <w:t xml:space="preserve"> </w:t>
      </w:r>
      <w:r w:rsidRPr="00376F57">
        <w:t>after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officially</w:t>
      </w:r>
      <w:r w:rsidR="00883178">
        <w:t xml:space="preserve"> </w:t>
      </w:r>
      <w:r w:rsidRPr="00376F57">
        <w:t>commenced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report,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sets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initial</w:t>
      </w:r>
      <w:r w:rsidR="00883178">
        <w:t xml:space="preserve"> </w:t>
      </w:r>
      <w:r w:rsidRPr="00376F57">
        <w:t>ideas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plans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three</w:t>
      </w:r>
      <w:r w:rsidR="00883178">
        <w:t xml:space="preserve"> </w:t>
      </w:r>
      <w:r w:rsidRPr="00376F57">
        <w:t>years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(2022</w:t>
      </w:r>
      <w:r w:rsidRPr="00376F57">
        <w:sym w:font="Symbol" w:char="F02D"/>
      </w:r>
      <w:r w:rsidRPr="00376F57">
        <w:t>2025),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view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engaging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dialogue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discussion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stakeholders.</w:t>
      </w:r>
    </w:p>
    <w:p w14:paraId="05E34E70" w14:textId="44543D92" w:rsidR="00F36E7C" w:rsidRPr="00376F57" w:rsidRDefault="00F36E7C" w:rsidP="00FE159F">
      <w:pPr>
        <w:pStyle w:val="HChG"/>
        <w:outlineLvl w:val="0"/>
      </w:pPr>
      <w:r w:rsidRPr="00376F57">
        <w:tab/>
        <w:t>II.</w:t>
      </w:r>
      <w:r w:rsidRPr="00376F57">
        <w:tab/>
        <w:t>Coordination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procedures</w:t>
      </w:r>
    </w:p>
    <w:p w14:paraId="7C44D083" w14:textId="2DB58AE7" w:rsidR="00F36E7C" w:rsidRPr="00376F57" w:rsidRDefault="00F36E7C" w:rsidP="00F36E7C">
      <w:pPr>
        <w:pStyle w:val="ParaNoG"/>
      </w:pPr>
      <w:r w:rsidRPr="00376F57">
        <w:t>Since</w:t>
      </w:r>
      <w:r w:rsidR="00883178">
        <w:t xml:space="preserve"> </w:t>
      </w:r>
      <w:r w:rsidRPr="00376F57">
        <w:t>2008,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addressing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relationship</w:t>
      </w:r>
      <w:r w:rsidR="00883178">
        <w:t xml:space="preserve"> </w:t>
      </w:r>
      <w:r w:rsidRPr="00376F57">
        <w:t>between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Pr="00376F57">
        <w:rPr>
          <w:rStyle w:val="FootnoteReference"/>
        </w:rPr>
        <w:footnoteReference w:id="3"/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expressing</w:t>
      </w:r>
      <w:r w:rsidR="00883178">
        <w:t xml:space="preserve"> </w:t>
      </w:r>
      <w:r w:rsidRPr="00376F57">
        <w:t>concerns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particular,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resolutions</w:t>
      </w:r>
      <w:r w:rsidR="00883178">
        <w:t xml:space="preserve"> </w:t>
      </w:r>
      <w:r w:rsidRPr="00376F57">
        <w:t>7/23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10/4,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felt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populations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situation.</w:t>
      </w:r>
      <w:r w:rsidR="00883178">
        <w:t xml:space="preserve"> </w:t>
      </w:r>
      <w:r w:rsidRPr="00376F57">
        <w:t>Since</w:t>
      </w:r>
      <w:r w:rsidR="00883178">
        <w:t xml:space="preserve"> </w:t>
      </w:r>
      <w:r w:rsidRPr="00376F57">
        <w:t>then,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organized</w:t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panels</w:t>
      </w:r>
      <w:r w:rsidR="00883178">
        <w:t xml:space="preserve"> </w:t>
      </w:r>
      <w:r w:rsidRPr="00376F57">
        <w:t>during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sessions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Office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High</w:t>
      </w:r>
      <w:r w:rsidR="00883178">
        <w:t xml:space="preserve"> </w:t>
      </w:r>
      <w:r w:rsidRPr="00376F57">
        <w:t>Commissioner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(OHCHR)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produced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number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studies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request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Council.</w:t>
      </w:r>
      <w:r w:rsidRPr="00376F57">
        <w:rPr>
          <w:rStyle w:val="FootnoteReference"/>
        </w:rPr>
        <w:footnoteReference w:id="4"/>
      </w:r>
      <w:r w:rsidR="00883178">
        <w:t xml:space="preserve"> </w:t>
      </w:r>
      <w:r w:rsidRPr="00376F57">
        <w:t>Recently,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Advisory</w:t>
      </w:r>
      <w:r w:rsidR="00883178">
        <w:t xml:space="preserve"> </w:t>
      </w:r>
      <w:r w:rsidRPr="00376F57">
        <w:t>Committee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embarked</w:t>
      </w:r>
      <w:r w:rsidR="00883178">
        <w:t xml:space="preserve"> </w:t>
      </w:r>
      <w:r w:rsidRPr="00376F57">
        <w:t>upon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study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  <w:r w:rsidRPr="00376F57">
        <w:rPr>
          <w:rStyle w:val="FootnoteReference"/>
        </w:rPr>
        <w:footnoteReference w:id="5"/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addition,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treaty</w:t>
      </w:r>
      <w:r w:rsidR="00883178">
        <w:t xml:space="preserve"> </w:t>
      </w:r>
      <w:r w:rsidRPr="00376F57">
        <w:t>monitoring</w:t>
      </w:r>
      <w:r w:rsidR="00883178">
        <w:t xml:space="preserve"> </w:t>
      </w:r>
      <w:r w:rsidRPr="00376F57">
        <w:t>bodies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explored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protect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accordance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respective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treaties.</w:t>
      </w:r>
      <w:r w:rsidRPr="00376F57">
        <w:rPr>
          <w:rStyle w:val="FootnoteReference"/>
        </w:rPr>
        <w:footnoteReference w:id="6"/>
      </w:r>
    </w:p>
    <w:p w14:paraId="770029C6" w14:textId="212644D4" w:rsidR="00F36E7C" w:rsidRPr="00376F57" w:rsidRDefault="00F36E7C" w:rsidP="00F36E7C">
      <w:pPr>
        <w:pStyle w:val="ParaNoG"/>
      </w:pP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same</w:t>
      </w:r>
      <w:r w:rsidR="00883178">
        <w:t xml:space="preserve"> </w:t>
      </w:r>
      <w:r w:rsidRPr="00376F57">
        <w:t>time,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number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addressed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affirmed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reports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reports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visits.</w:t>
      </w:r>
      <w:r w:rsidRPr="00376F57">
        <w:rPr>
          <w:rStyle w:val="FootnoteReference"/>
        </w:rPr>
        <w:footnoteReference w:id="7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requested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close</w:t>
      </w:r>
      <w:r w:rsidR="00883178">
        <w:t xml:space="preserve"> </w:t>
      </w:r>
      <w:r w:rsidRPr="00376F57">
        <w:t>coordination,</w:t>
      </w:r>
      <w:r w:rsidR="00883178">
        <w:t xml:space="preserve"> </w:t>
      </w:r>
      <w:r w:rsidRPr="00376F57">
        <w:t>while</w:t>
      </w:r>
      <w:r w:rsidR="00883178">
        <w:t xml:space="preserve"> </w:t>
      </w:r>
      <w:r w:rsidRPr="00376F57">
        <w:t>avoiding</w:t>
      </w:r>
      <w:r w:rsidR="00883178">
        <w:t xml:space="preserve"> </w:t>
      </w:r>
      <w:r w:rsidRPr="00376F57">
        <w:t>duplication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efforts,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(paragraphs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(h)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(m)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48/14).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reviewed</w:t>
      </w:r>
      <w:r w:rsidR="00883178">
        <w:t xml:space="preserve"> </w:t>
      </w:r>
      <w:r w:rsidRPr="00376F57">
        <w:t>salient</w:t>
      </w:r>
      <w:r w:rsidR="00883178">
        <w:t xml:space="preserve"> </w:t>
      </w:r>
      <w:r w:rsidRPr="00376F57">
        <w:t>studies</w:t>
      </w:r>
      <w:r w:rsidR="00883178">
        <w:t xml:space="preserve"> </w:t>
      </w:r>
      <w:r w:rsidRPr="00376F57">
        <w:t>undertaken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references</w:t>
      </w:r>
      <w:r w:rsidR="00883178">
        <w:t xml:space="preserve"> </w:t>
      </w:r>
      <w:r w:rsidRPr="00376F57">
        <w:t>made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specific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specific</w:t>
      </w:r>
      <w:r w:rsidR="00883178">
        <w:t xml:space="preserve"> </w:t>
      </w:r>
      <w:r w:rsidRPr="00376F57">
        <w:t>groups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(see</w:t>
      </w:r>
      <w:r w:rsidR="00883178">
        <w:t xml:space="preserve"> </w:t>
      </w:r>
      <w:r w:rsidRPr="00376F57">
        <w:t>annex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non-exhaustive</w:t>
      </w:r>
      <w:r w:rsidR="00883178">
        <w:t xml:space="preserve"> </w:t>
      </w:r>
      <w:r w:rsidRPr="00376F57">
        <w:t>compilation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rights).</w:t>
      </w:r>
    </w:p>
    <w:p w14:paraId="5C4F7841" w14:textId="0706F07D" w:rsidR="00F36E7C" w:rsidRPr="00376F57" w:rsidRDefault="00F36E7C" w:rsidP="00F36E7C">
      <w:pPr>
        <w:pStyle w:val="ParaNoG"/>
      </w:pPr>
      <w:r w:rsidRPr="00376F57">
        <w:t>Considerable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undertaken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aim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complement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avoid</w:t>
      </w:r>
      <w:r w:rsidR="00883178">
        <w:t xml:space="preserve"> </w:t>
      </w:r>
      <w:r w:rsidRPr="00376F57">
        <w:t>overlaps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repetition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existing</w:t>
      </w:r>
      <w:r w:rsidR="00883178">
        <w:t xml:space="preserve"> </w:t>
      </w:r>
      <w:r w:rsidRPr="00376F57">
        <w:t>efforts.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reach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find</w:t>
      </w:r>
      <w:r w:rsidR="00883178">
        <w:t xml:space="preserve"> </w:t>
      </w:r>
      <w:r w:rsidRPr="00376F57">
        <w:t>synergies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work,</w:t>
      </w:r>
      <w:r w:rsidR="00883178">
        <w:t xml:space="preserve"> </w:t>
      </w:r>
      <w:r w:rsidRPr="00376F57"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priorities</w:t>
      </w:r>
      <w:r w:rsidR="00883178">
        <w:t xml:space="preserve"> </w:t>
      </w:r>
      <w:r w:rsidRPr="00376F57">
        <w:t>he</w:t>
      </w:r>
      <w:r w:rsidR="00883178">
        <w:t xml:space="preserve"> </w:t>
      </w:r>
      <w:r w:rsidRPr="00376F57">
        <w:t>identifies</w:t>
      </w:r>
      <w:r w:rsidR="00883178">
        <w:t xml:space="preserve"> </w:t>
      </w:r>
      <w:r w:rsidRPr="00376F57">
        <w:t>below.</w:t>
      </w:r>
    </w:p>
    <w:p w14:paraId="6FC54208" w14:textId="54F78BF8" w:rsidR="00F36E7C" w:rsidRPr="00376F57" w:rsidRDefault="00F36E7C" w:rsidP="00FE159F">
      <w:pPr>
        <w:pStyle w:val="HChG"/>
        <w:outlineLvl w:val="0"/>
      </w:pPr>
      <w:bookmarkStart w:id="3" w:name="_Toc104788981"/>
      <w:r w:rsidRPr="00376F57">
        <w:tab/>
        <w:t>III.</w:t>
      </w:r>
      <w:r w:rsidRPr="00376F57">
        <w:tab/>
        <w:t>Thematic</w:t>
      </w:r>
      <w:r w:rsidR="00883178">
        <w:t xml:space="preserve"> </w:t>
      </w:r>
      <w:r w:rsidRPr="00376F57">
        <w:t>priorities</w:t>
      </w:r>
      <w:bookmarkEnd w:id="3"/>
    </w:p>
    <w:p w14:paraId="7D8326BC" w14:textId="1DC26111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set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tasks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Rapporteur.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basis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request,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provided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initial</w:t>
      </w:r>
      <w:r w:rsidR="00883178">
        <w:t xml:space="preserve"> </w:t>
      </w:r>
      <w:r w:rsidRPr="00376F57">
        <w:t>view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priorities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seeks</w:t>
      </w:r>
      <w:r w:rsidR="00883178">
        <w:t xml:space="preserve"> </w:t>
      </w:r>
      <w:r w:rsidRPr="00376F57">
        <w:t>clarification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additional</w:t>
      </w:r>
      <w:r w:rsidR="00883178">
        <w:t xml:space="preserve"> </w:t>
      </w:r>
      <w:r w:rsidRPr="00376F57">
        <w:t>information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stakeholders.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line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priorities,</w:t>
      </w:r>
      <w:r w:rsidR="00883178">
        <w:t xml:space="preserve"> </w:t>
      </w:r>
      <w:r w:rsidRPr="00376F57">
        <w:t>each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addressed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sequence</w:t>
      </w:r>
      <w:r w:rsidR="00883178">
        <w:t xml:space="preserve"> </w:t>
      </w:r>
      <w:r w:rsidRPr="00376F57">
        <w:t>below,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presents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list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preliminary</w:t>
      </w:r>
      <w:r w:rsidR="00883178">
        <w:t xml:space="preserve"> </w:t>
      </w:r>
      <w:r w:rsidRPr="00376F57">
        <w:t>ideas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lastRenderedPageBreak/>
        <w:t>thematic</w:t>
      </w:r>
      <w:r w:rsidR="00883178">
        <w:t xml:space="preserve"> </w:t>
      </w:r>
      <w:r w:rsidRPr="00376F57">
        <w:t>reports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submit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Assembly.</w:t>
      </w:r>
      <w:r w:rsidR="00883178">
        <w:t xml:space="preserve"> </w:t>
      </w:r>
      <w:r w:rsidRPr="00376F57">
        <w:t>While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inevitable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overlaps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undertaking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tasks,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possible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identify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key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priorities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sequence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work,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follows:</w:t>
      </w:r>
    </w:p>
    <w:p w14:paraId="2B7207FD" w14:textId="2AD30185" w:rsidR="00F36E7C" w:rsidRPr="00376F57" w:rsidRDefault="00F36E7C" w:rsidP="00386A5B">
      <w:pPr>
        <w:pStyle w:val="SingleTxtG"/>
        <w:rPr>
          <w:b/>
        </w:rPr>
      </w:pPr>
      <w:r w:rsidRPr="00376F57">
        <w:tab/>
        <w:t>(a</w:t>
      </w:r>
      <w:r w:rsidR="00386A5B" w:rsidRPr="00376F57">
        <w:t>)</w:t>
      </w:r>
      <w:r w:rsidRPr="00376F57">
        <w:tab/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(2022).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mitigation,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emphasis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damage;</w:t>
      </w:r>
    </w:p>
    <w:p w14:paraId="50A93AF8" w14:textId="6EB11878" w:rsidR="00F36E7C" w:rsidRPr="00376F57" w:rsidRDefault="00F36E7C" w:rsidP="00386A5B">
      <w:pPr>
        <w:pStyle w:val="SingleTxtG"/>
      </w:pPr>
      <w:r w:rsidRPr="00376F57">
        <w:tab/>
        <w:t>(b</w:t>
      </w:r>
      <w:r w:rsidR="00386A5B" w:rsidRPr="00376F57">
        <w:t>)</w:t>
      </w:r>
      <w:r w:rsidRPr="00376F57">
        <w:tab/>
        <w:t>Fifty-third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(June</w:t>
      </w:r>
      <w:r w:rsidR="00883178">
        <w:t xml:space="preserve"> </w:t>
      </w:r>
      <w:r w:rsidRPr="00376F57">
        <w:t>2023).</w:t>
      </w:r>
      <w:r w:rsidR="00883178">
        <w:t xml:space="preserve"> </w:t>
      </w:r>
      <w:r w:rsidRPr="00376F57">
        <w:t>Ways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implications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displacement,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legal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across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borders;</w:t>
      </w:r>
    </w:p>
    <w:p w14:paraId="07480F91" w14:textId="19275BC7" w:rsidR="00F36E7C" w:rsidRPr="00376F57" w:rsidRDefault="00F36E7C" w:rsidP="00386A5B">
      <w:pPr>
        <w:pStyle w:val="SingleTxtG"/>
      </w:pPr>
      <w:r w:rsidRPr="00376F57">
        <w:tab/>
        <w:t>(c</w:t>
      </w:r>
      <w:r w:rsidR="00386A5B" w:rsidRPr="00376F57">
        <w:t>)</w:t>
      </w:r>
      <w:r w:rsidRPr="00376F57">
        <w:tab/>
        <w:t>Seventy-eighth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(2023).</w:t>
      </w:r>
      <w:r w:rsidR="00883178">
        <w:t xml:space="preserve"> </w:t>
      </w:r>
      <w:r w:rsidRPr="00376F57">
        <w:t>Exploration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enhancing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legislation,</w:t>
      </w:r>
      <w:r w:rsidR="00883178">
        <w:t xml:space="preserve"> </w:t>
      </w:r>
      <w:r w:rsidRPr="00376F57">
        <w:t>support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litigation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advancement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principle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justice;</w:t>
      </w:r>
      <w:r w:rsidR="00883178">
        <w:t xml:space="preserve"> </w:t>
      </w:r>
    </w:p>
    <w:p w14:paraId="7289EE7C" w14:textId="1EBE4AEB" w:rsidR="00F36E7C" w:rsidRPr="00376F57" w:rsidRDefault="00F36E7C" w:rsidP="00386A5B">
      <w:pPr>
        <w:pStyle w:val="SingleTxtG"/>
      </w:pPr>
      <w:r w:rsidRPr="00376F57">
        <w:tab/>
        <w:t>(d)</w:t>
      </w:r>
      <w:r w:rsidRPr="00376F57">
        <w:tab/>
        <w:t>Fifty-sixth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(June</w:t>
      </w:r>
      <w:r w:rsidR="00883178">
        <w:t xml:space="preserve"> </w:t>
      </w:r>
      <w:r w:rsidRPr="00376F57">
        <w:t>2024).</w:t>
      </w:r>
      <w:r w:rsidR="00883178">
        <w:t xml:space="preserve"> </w:t>
      </w:r>
      <w:r w:rsidRPr="00376F57">
        <w:t>Corporate</w:t>
      </w:r>
      <w:r w:rsidR="00883178">
        <w:t xml:space="preserve"> </w:t>
      </w:r>
      <w:r w:rsidRPr="00376F57">
        <w:t>accountability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change;</w:t>
      </w:r>
    </w:p>
    <w:p w14:paraId="308F0FD2" w14:textId="62F8C053" w:rsidR="00F36E7C" w:rsidRPr="00376F57" w:rsidRDefault="00F36E7C" w:rsidP="00386A5B">
      <w:pPr>
        <w:pStyle w:val="SingleTxtG"/>
      </w:pPr>
      <w:r w:rsidRPr="00376F57">
        <w:tab/>
        <w:t>(e</w:t>
      </w:r>
      <w:r w:rsidR="00386A5B" w:rsidRPr="00376F57">
        <w:t>)</w:t>
      </w:r>
      <w:r w:rsidRPr="00376F57">
        <w:tab/>
        <w:t>Seventy-ninth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(2024).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through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workers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change;</w:t>
      </w:r>
      <w:r w:rsidR="00883178">
        <w:t xml:space="preserve"> </w:t>
      </w:r>
    </w:p>
    <w:p w14:paraId="7B5EC008" w14:textId="01969037" w:rsidR="00F36E7C" w:rsidRPr="00376F57" w:rsidRDefault="00F36E7C" w:rsidP="00386A5B">
      <w:pPr>
        <w:pStyle w:val="SingleTxtG"/>
      </w:pPr>
      <w:r w:rsidRPr="00376F57">
        <w:tab/>
        <w:t>(f</w:t>
      </w:r>
      <w:r w:rsidR="00386A5B" w:rsidRPr="00376F57">
        <w:t>)</w:t>
      </w:r>
      <w:r w:rsidRPr="00376F57">
        <w:tab/>
        <w:t>Ongoing,</w:t>
      </w:r>
      <w:r w:rsidR="00883178">
        <w:t xml:space="preserve"> </w:t>
      </w:r>
      <w:r w:rsidRPr="00376F57">
        <w:t>2022</w:t>
      </w:r>
      <w:r w:rsidRPr="00376F57">
        <w:sym w:font="Symbol" w:char="F02D"/>
      </w:r>
      <w:r w:rsidRPr="00376F57">
        <w:t>2025.</w:t>
      </w:r>
      <w:r w:rsidR="00883178">
        <w:t xml:space="preserve"> </w:t>
      </w:r>
      <w:r w:rsidRPr="00376F57">
        <w:t>Exploration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associated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mitigation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</w:p>
    <w:p w14:paraId="7CF9DD73" w14:textId="0DED6700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plans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conduct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own</w:t>
      </w:r>
      <w:r w:rsidR="00883178">
        <w:t xml:space="preserve"> </w:t>
      </w:r>
      <w:r w:rsidRPr="00376F57">
        <w:t>mid-term</w:t>
      </w:r>
      <w:r w:rsidR="00883178">
        <w:t xml:space="preserve"> </w:t>
      </w:r>
      <w:r w:rsidRPr="00376F57">
        <w:t>review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take</w:t>
      </w:r>
      <w:r w:rsidR="00883178">
        <w:t xml:space="preserve"> </w:t>
      </w:r>
      <w:r w:rsidRPr="00376F57">
        <w:t>stock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three</w:t>
      </w:r>
      <w:r w:rsidR="00883178">
        <w:t xml:space="preserve"> </w:t>
      </w:r>
      <w:r w:rsidRPr="00376F57">
        <w:t>years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producing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dedicated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2024.</w:t>
      </w:r>
      <w:r w:rsidR="00883178">
        <w:t xml:space="preserve"> </w:t>
      </w:r>
    </w:p>
    <w:p w14:paraId="19846A96" w14:textId="4B5A7CDE" w:rsidR="00F36E7C" w:rsidRPr="00376F57" w:rsidRDefault="00386A5B" w:rsidP="00FE159F">
      <w:pPr>
        <w:pStyle w:val="HChG"/>
        <w:tabs>
          <w:tab w:val="clear" w:pos="851"/>
          <w:tab w:val="right" w:pos="630"/>
        </w:tabs>
        <w:ind w:left="0" w:firstLine="0"/>
        <w:outlineLvl w:val="0"/>
      </w:pPr>
      <w:r w:rsidRPr="00376F57">
        <w:tab/>
      </w:r>
      <w:r w:rsidR="00F36E7C" w:rsidRPr="00376F57">
        <w:t>IV.</w:t>
      </w:r>
      <w:r w:rsidR="00F36E7C" w:rsidRPr="00376F57">
        <w:tab/>
        <w:t>Strategies</w:t>
      </w:r>
      <w:r w:rsidR="00883178">
        <w:t xml:space="preserve"> </w:t>
      </w:r>
      <w:r w:rsidR="00F36E7C" w:rsidRPr="00376F57">
        <w:t>for</w:t>
      </w:r>
      <w:r w:rsidR="00883178">
        <w:t xml:space="preserve"> </w:t>
      </w:r>
      <w:r w:rsidR="00F36E7C" w:rsidRPr="00376F57">
        <w:t>achievement</w:t>
      </w:r>
      <w:r w:rsidR="00883178">
        <w:t xml:space="preserve"> </w:t>
      </w:r>
      <w:r w:rsidR="00F36E7C" w:rsidRPr="00376F57">
        <w:t>of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priorities</w:t>
      </w:r>
    </w:p>
    <w:p w14:paraId="07F9BEF6" w14:textId="2F0A3F01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following</w:t>
      </w:r>
      <w:r w:rsidR="00883178">
        <w:t xml:space="preserve"> </w:t>
      </w:r>
      <w:r w:rsidRPr="00376F57">
        <w:t>subsections</w:t>
      </w:r>
      <w:r w:rsidR="00883178">
        <w:t xml:space="preserve"> </w:t>
      </w:r>
      <w:r w:rsidRPr="00376F57">
        <w:t>contain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preliminary</w:t>
      </w:r>
      <w:r w:rsidR="00883178">
        <w:t xml:space="preserve"> </w:t>
      </w:r>
      <w:r w:rsidRPr="00376F57">
        <w:t>set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strategies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achievement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mandate.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time</w:t>
      </w:r>
      <w:r w:rsidR="00883178">
        <w:t xml:space="preserve"> </w:t>
      </w:r>
      <w:r w:rsidRPr="00376F57">
        <w:t>progresses,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strategies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evolve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reflect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rapidly</w:t>
      </w:r>
      <w:r w:rsidR="00883178">
        <w:t xml:space="preserve"> </w:t>
      </w:r>
      <w:r w:rsidRPr="00376F57">
        <w:t>changing</w:t>
      </w:r>
      <w:r w:rsidR="00883178">
        <w:t xml:space="preserve"> </w:t>
      </w:r>
      <w:r w:rsidRPr="00376F57">
        <w:t>circumstances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confront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community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131F8BE8" w14:textId="484EBDF5" w:rsidR="00F36E7C" w:rsidRPr="00376F57" w:rsidRDefault="00F36E7C" w:rsidP="00FE159F">
      <w:pPr>
        <w:pStyle w:val="H1G"/>
        <w:outlineLvl w:val="1"/>
      </w:pPr>
      <w:bookmarkStart w:id="4" w:name="_Toc104788983"/>
      <w:r w:rsidRPr="00376F57">
        <w:tab/>
        <w:t>A.</w:t>
      </w:r>
      <w:r w:rsidRPr="00376F57">
        <w:tab/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mitigation,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emphasis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bookmarkEnd w:id="4"/>
    </w:p>
    <w:p w14:paraId="3C470106" w14:textId="493453D3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highlights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reference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included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preamble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Paris</w:t>
      </w:r>
      <w:r w:rsidR="00883178">
        <w:t xml:space="preserve"> </w:t>
      </w:r>
      <w:r w:rsidRPr="00376F57">
        <w:t>Agreement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Agreement</w:t>
      </w:r>
      <w:r w:rsidR="00883178">
        <w:t xml:space="preserve"> </w:t>
      </w:r>
      <w:r w:rsidRPr="00376F57">
        <w:t>acknowledged</w:t>
      </w:r>
      <w:r w:rsidR="00883178">
        <w:t xml:space="preserve"> </w:t>
      </w:r>
      <w:r w:rsidRPr="00376F57">
        <w:rPr>
          <w:color w:val="212121"/>
        </w:rPr>
        <w:t>that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climate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change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was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a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common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concern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of</w:t>
      </w:r>
      <w:r w:rsidR="00883178">
        <w:rPr>
          <w:color w:val="212121"/>
        </w:rPr>
        <w:t xml:space="preserve"> </w:t>
      </w:r>
      <w:r w:rsidRPr="00376F57">
        <w:rPr>
          <w:color w:val="212121"/>
        </w:rPr>
        <w:t>humankind,</w:t>
      </w:r>
      <w:r w:rsidR="00883178">
        <w:rPr>
          <w:color w:val="212121"/>
        </w:rPr>
        <w:t xml:space="preserve"> </w:t>
      </w:r>
      <w:r w:rsidRPr="00376F57">
        <w:t>and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should,</w:t>
      </w:r>
      <w:r w:rsidR="00883178">
        <w:t xml:space="preserve"> </w:t>
      </w:r>
      <w:r w:rsidRPr="00376F57">
        <w:t>when</w:t>
      </w:r>
      <w:r w:rsidR="00883178">
        <w:t xml:space="preserve"> </w:t>
      </w:r>
      <w:r w:rsidRPr="00376F57">
        <w:t>taking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respect,</w:t>
      </w:r>
      <w:r w:rsidR="00883178">
        <w:t xml:space="preserve"> </w:t>
      </w:r>
      <w:r w:rsidRPr="00376F57">
        <w:t>promote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consider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respective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rPr>
          <w:bCs/>
        </w:rPr>
        <w:t>on</w:t>
      </w:r>
      <w:r w:rsidR="00883178">
        <w:rPr>
          <w:bCs/>
        </w:rPr>
        <w:t xml:space="preserve"> </w:t>
      </w:r>
      <w:r w:rsidRPr="00376F57">
        <w:rPr>
          <w:bCs/>
        </w:rPr>
        <w:t>human</w:t>
      </w:r>
      <w:r w:rsidR="00883178">
        <w:rPr>
          <w:bCs/>
        </w:rPr>
        <w:t xml:space="preserve"> </w:t>
      </w:r>
      <w:r w:rsidRPr="00376F57">
        <w:rPr>
          <w:bCs/>
        </w:rPr>
        <w:t>rights</w:t>
      </w:r>
      <w:r w:rsidRPr="00376F57">
        <w:t>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health,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peoples,</w:t>
      </w:r>
      <w:r w:rsidR="00883178">
        <w:t xml:space="preserve"> </w:t>
      </w:r>
      <w:r w:rsidRPr="00376F57">
        <w:t>local</w:t>
      </w:r>
      <w:r w:rsidR="00883178">
        <w:t xml:space="preserve"> </w:t>
      </w:r>
      <w:r w:rsidRPr="00376F57">
        <w:t>communities,</w:t>
      </w:r>
      <w:r w:rsidR="00883178">
        <w:t xml:space="preserve"> </w:t>
      </w:r>
      <w:r w:rsidRPr="00376F57">
        <w:t>migrants,</w:t>
      </w:r>
      <w:r w:rsidR="00883178">
        <w:t xml:space="preserve"> </w:t>
      </w:r>
      <w:r w:rsidRPr="00376F57">
        <w:t>children,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development,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well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gender</w:t>
      </w:r>
      <w:r w:rsidR="00883178">
        <w:t xml:space="preserve"> </w:t>
      </w:r>
      <w:r w:rsidRPr="00376F57">
        <w:t>equality,</w:t>
      </w:r>
      <w:r w:rsidR="00883178">
        <w:t xml:space="preserve"> </w:t>
      </w:r>
      <w:r w:rsidRPr="00376F57">
        <w:t>empowerment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equity.</w:t>
      </w:r>
    </w:p>
    <w:p w14:paraId="0AFF106F" w14:textId="12AC8B3F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explore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functional</w:t>
      </w:r>
      <w:r w:rsidR="00883178">
        <w:t xml:space="preserve"> </w:t>
      </w:r>
      <w:r w:rsidRPr="00376F57">
        <w:t>arrangements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Paris</w:t>
      </w:r>
      <w:r w:rsidR="00883178">
        <w:t xml:space="preserve"> </w:t>
      </w:r>
      <w:r w:rsidRPr="00376F57">
        <w:t>Agreement,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mitigation,</w:t>
      </w:r>
      <w:r w:rsidR="00883178">
        <w:t xml:space="preserve"> </w:t>
      </w:r>
      <w:r w:rsidRPr="00376F57">
        <w:t>adaptation,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damage,</w:t>
      </w:r>
      <w:r w:rsidR="00883178">
        <w:t xml:space="preserve"> </w:t>
      </w:r>
      <w:r w:rsidRPr="00376F57">
        <w:t>finance,</w:t>
      </w:r>
      <w:r w:rsidR="00883178">
        <w:t xml:space="preserve"> </w:t>
      </w:r>
      <w:r w:rsidRPr="00376F57">
        <w:t>reporting,</w:t>
      </w:r>
      <w:r w:rsidR="00883178">
        <w:t xml:space="preserve"> </w:t>
      </w:r>
      <w:r w:rsidRPr="00376F57">
        <w:t>technology</w:t>
      </w:r>
      <w:r w:rsidR="00883178">
        <w:t xml:space="preserve"> </w:t>
      </w:r>
      <w:r w:rsidRPr="00376F57">
        <w:t>transfer,</w:t>
      </w:r>
      <w:r w:rsidR="00883178">
        <w:t xml:space="preserve"> </w:t>
      </w:r>
      <w:r w:rsidRPr="00376F57">
        <w:t>capacity-building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education,</w:t>
      </w:r>
      <w:r w:rsidR="00883178">
        <w:t xml:space="preserve"> </w:t>
      </w:r>
      <w:r w:rsidRPr="00376F57">
        <w:t>stocktaking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compliance,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find</w:t>
      </w:r>
      <w:r w:rsidR="00883178">
        <w:t xml:space="preserve"> </w:t>
      </w:r>
      <w:r w:rsidRPr="00376F57">
        <w:t>entry</w:t>
      </w:r>
      <w:r w:rsidR="00883178">
        <w:t xml:space="preserve"> </w:t>
      </w:r>
      <w:r w:rsidRPr="00376F57">
        <w:t>points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inclusion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perspectives</w:t>
      </w:r>
      <w:r w:rsidR="00883178">
        <w:t xml:space="preserve"> </w:t>
      </w:r>
      <w:r w:rsidRPr="00376F57">
        <w:t>within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arrangements.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focus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four</w:t>
      </w:r>
      <w:r w:rsidR="00883178">
        <w:t xml:space="preserve"> </w:t>
      </w:r>
      <w:r w:rsidRPr="00376F57">
        <w:t>main</w:t>
      </w:r>
      <w:r w:rsidR="00883178">
        <w:t xml:space="preserve"> </w:t>
      </w:r>
      <w:r w:rsidRPr="00376F57">
        <w:t>elements,</w:t>
      </w:r>
      <w:r w:rsidR="00883178">
        <w:t xml:space="preserve"> </w:t>
      </w:r>
      <w:r w:rsidRPr="00376F57"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set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(a)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(b)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namely</w:t>
      </w:r>
      <w:r w:rsidR="00883178">
        <w:t xml:space="preserve"> </w:t>
      </w:r>
      <w:r w:rsidRPr="00376F57">
        <w:t>mitigation,</w:t>
      </w:r>
      <w:r w:rsidR="00883178">
        <w:t xml:space="preserve"> </w:t>
      </w:r>
      <w:r w:rsidRPr="00376F57">
        <w:t>adaptation,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finance,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further</w:t>
      </w:r>
      <w:r w:rsidR="00883178">
        <w:t xml:space="preserve"> </w:t>
      </w:r>
      <w:r w:rsidRPr="00376F57">
        <w:t>considered</w:t>
      </w:r>
      <w:r w:rsidR="00883178">
        <w:t xml:space="preserve"> </w:t>
      </w:r>
      <w:r w:rsidRPr="00376F57">
        <w:t>below.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attention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given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creating</w:t>
      </w:r>
      <w:r w:rsidR="00883178">
        <w:t xml:space="preserve"> </w:t>
      </w:r>
      <w:r w:rsidRPr="00376F57">
        <w:t>enormous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deprivations</w:t>
      </w:r>
      <w:r w:rsidR="00883178">
        <w:t xml:space="preserve"> </w:t>
      </w:r>
      <w:r w:rsidRPr="00376F57">
        <w:t>and,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such,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subject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2022.</w:t>
      </w:r>
    </w:p>
    <w:p w14:paraId="3214892B" w14:textId="77777777" w:rsidR="00F36E7C" w:rsidRPr="00376F57" w:rsidRDefault="00F36E7C" w:rsidP="00FE159F">
      <w:pPr>
        <w:pStyle w:val="H23G"/>
        <w:outlineLvl w:val="2"/>
      </w:pPr>
      <w:bookmarkStart w:id="5" w:name="_Toc104788984"/>
      <w:r w:rsidRPr="00376F57">
        <w:lastRenderedPageBreak/>
        <w:tab/>
        <w:t>1.</w:t>
      </w:r>
      <w:r w:rsidRPr="00376F57">
        <w:tab/>
        <w:t>Mitigation</w:t>
      </w:r>
      <w:bookmarkEnd w:id="5"/>
    </w:p>
    <w:p w14:paraId="58DF12B5" w14:textId="36C952D6" w:rsidR="00F36E7C" w:rsidRPr="00376F57" w:rsidRDefault="00F36E7C" w:rsidP="00F36E7C">
      <w:pPr>
        <w:pStyle w:val="ParaNoG"/>
        <w:rPr>
          <w:bCs/>
        </w:rPr>
      </w:pP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contribution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Sixth</w:t>
      </w:r>
      <w:r w:rsidR="00883178">
        <w:t xml:space="preserve"> </w:t>
      </w:r>
      <w:r w:rsidRPr="00376F57">
        <w:t>Assessment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Intergovernmental</w:t>
      </w:r>
      <w:r w:rsidR="00883178">
        <w:t xml:space="preserve"> </w:t>
      </w:r>
      <w:r w:rsidRPr="00376F57">
        <w:t>Panel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Pr="00376F57">
        <w:rPr>
          <w:rStyle w:val="FootnoteReference"/>
        </w:rPr>
        <w:footnoteReference w:id="8"/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III</w:t>
      </w:r>
      <w:r w:rsidR="00883178">
        <w:t xml:space="preserve"> </w:t>
      </w:r>
      <w:r w:rsidRPr="00376F57">
        <w:t>stated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rPr>
          <w:bCs/>
        </w:rPr>
        <w:t>effective</w:t>
      </w:r>
      <w:r w:rsidR="00883178">
        <w:rPr>
          <w:bCs/>
        </w:rPr>
        <w:t xml:space="preserve"> </w:t>
      </w:r>
      <w:r w:rsidRPr="00376F57">
        <w:rPr>
          <w:bCs/>
        </w:rPr>
        <w:t>and</w:t>
      </w:r>
      <w:r w:rsidR="00883178">
        <w:rPr>
          <w:bCs/>
        </w:rPr>
        <w:t xml:space="preserve"> </w:t>
      </w:r>
      <w:r w:rsidRPr="00376F57">
        <w:rPr>
          <w:bCs/>
        </w:rPr>
        <w:t>equitable</w:t>
      </w:r>
      <w:r w:rsidR="00883178">
        <w:rPr>
          <w:bCs/>
        </w:rPr>
        <w:t xml:space="preserve"> </w:t>
      </w:r>
      <w:r w:rsidRPr="00376F57">
        <w:rPr>
          <w:bCs/>
        </w:rPr>
        <w:t>climate</w:t>
      </w:r>
      <w:r w:rsidR="00883178">
        <w:rPr>
          <w:bCs/>
        </w:rPr>
        <w:t xml:space="preserve"> </w:t>
      </w:r>
      <w:r w:rsidRPr="00376F57">
        <w:rPr>
          <w:bCs/>
        </w:rPr>
        <w:t>policies</w:t>
      </w:r>
      <w:r w:rsidR="00883178">
        <w:rPr>
          <w:bCs/>
        </w:rPr>
        <w:t xml:space="preserve"> </w:t>
      </w:r>
      <w:r w:rsidRPr="00376F57">
        <w:rPr>
          <w:bCs/>
        </w:rPr>
        <w:t>were</w:t>
      </w:r>
      <w:r w:rsidR="00883178">
        <w:rPr>
          <w:bCs/>
        </w:rPr>
        <w:t xml:space="preserve"> </w:t>
      </w:r>
      <w:r w:rsidRPr="00376F57">
        <w:rPr>
          <w:bCs/>
        </w:rPr>
        <w:t>largely</w:t>
      </w:r>
      <w:r w:rsidR="00883178">
        <w:rPr>
          <w:bCs/>
        </w:rPr>
        <w:t xml:space="preserve"> </w:t>
      </w:r>
      <w:r w:rsidRPr="00376F57">
        <w:rPr>
          <w:bCs/>
        </w:rPr>
        <w:t>compatible</w:t>
      </w:r>
      <w:r w:rsidR="00883178">
        <w:rPr>
          <w:bCs/>
        </w:rPr>
        <w:t xml:space="preserve"> </w:t>
      </w:r>
      <w:r w:rsidRPr="00376F57">
        <w:rPr>
          <w:bCs/>
        </w:rPr>
        <w:t>with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broader</w:t>
      </w:r>
      <w:r w:rsidR="00883178">
        <w:rPr>
          <w:bCs/>
        </w:rPr>
        <w:t xml:space="preserve"> </w:t>
      </w:r>
      <w:r w:rsidRPr="00376F57">
        <w:rPr>
          <w:bCs/>
        </w:rPr>
        <w:t>goal</w:t>
      </w:r>
      <w:r w:rsidR="00883178">
        <w:rPr>
          <w:bCs/>
        </w:rPr>
        <w:t xml:space="preserve"> </w:t>
      </w:r>
      <w:r w:rsidRPr="00376F57">
        <w:rPr>
          <w:bCs/>
        </w:rPr>
        <w:t>of</w:t>
      </w:r>
      <w:r w:rsidR="00883178">
        <w:rPr>
          <w:bCs/>
        </w:rPr>
        <w:t xml:space="preserve"> </w:t>
      </w:r>
      <w:r w:rsidRPr="00376F57">
        <w:rPr>
          <w:bCs/>
        </w:rPr>
        <w:t>sustainable</w:t>
      </w:r>
      <w:r w:rsidR="00883178">
        <w:rPr>
          <w:bCs/>
        </w:rPr>
        <w:t xml:space="preserve"> </w:t>
      </w:r>
      <w:r w:rsidRPr="00376F57">
        <w:rPr>
          <w:bCs/>
        </w:rPr>
        <w:t>development</w:t>
      </w:r>
      <w:r w:rsidR="00883178">
        <w:rPr>
          <w:bCs/>
        </w:rPr>
        <w:t xml:space="preserve"> </w:t>
      </w:r>
      <w:r w:rsidRPr="00376F57">
        <w:rPr>
          <w:bCs/>
        </w:rPr>
        <w:t>and</w:t>
      </w:r>
      <w:r w:rsidR="00883178">
        <w:rPr>
          <w:bCs/>
        </w:rPr>
        <w:t xml:space="preserve"> </w:t>
      </w:r>
      <w:r w:rsidRPr="00376F57">
        <w:rPr>
          <w:bCs/>
        </w:rPr>
        <w:t>efforts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eradicate</w:t>
      </w:r>
      <w:r w:rsidR="00883178">
        <w:rPr>
          <w:bCs/>
        </w:rPr>
        <w:t xml:space="preserve"> </w:t>
      </w:r>
      <w:r w:rsidRPr="00376F57">
        <w:rPr>
          <w:bCs/>
        </w:rPr>
        <w:t>poverty</w:t>
      </w:r>
      <w:r w:rsidR="00883178">
        <w:rPr>
          <w:bCs/>
        </w:rPr>
        <w:t xml:space="preserve"> </w:t>
      </w:r>
      <w:r w:rsidRPr="00376F57">
        <w:rPr>
          <w:bCs/>
        </w:rPr>
        <w:t>as</w:t>
      </w:r>
      <w:r w:rsidR="00883178">
        <w:rPr>
          <w:bCs/>
        </w:rPr>
        <w:t xml:space="preserve"> </w:t>
      </w:r>
      <w:r w:rsidRPr="00376F57">
        <w:rPr>
          <w:bCs/>
        </w:rPr>
        <w:t>enshrined</w:t>
      </w:r>
      <w:r w:rsidR="00883178">
        <w:rPr>
          <w:bCs/>
        </w:rPr>
        <w:t xml:space="preserve"> </w:t>
      </w:r>
      <w:r w:rsidRPr="00376F57">
        <w:rPr>
          <w:bCs/>
        </w:rPr>
        <w:t>in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17</w:t>
      </w:r>
      <w:r w:rsidR="00883178">
        <w:rPr>
          <w:bCs/>
        </w:rPr>
        <w:t xml:space="preserve"> </w:t>
      </w:r>
      <w:r w:rsidRPr="00376F57">
        <w:rPr>
          <w:bCs/>
        </w:rPr>
        <w:t>Sustainable</w:t>
      </w:r>
      <w:r w:rsidR="00883178">
        <w:rPr>
          <w:bCs/>
        </w:rPr>
        <w:t xml:space="preserve"> </w:t>
      </w:r>
      <w:r w:rsidRPr="00376F57">
        <w:rPr>
          <w:bCs/>
        </w:rPr>
        <w:t>Development</w:t>
      </w:r>
      <w:r w:rsidR="00883178">
        <w:rPr>
          <w:bCs/>
        </w:rPr>
        <w:t xml:space="preserve"> </w:t>
      </w:r>
      <w:r w:rsidRPr="00376F57">
        <w:rPr>
          <w:bCs/>
        </w:rPr>
        <w:t>Goals</w:t>
      </w:r>
      <w:r w:rsidR="00883178">
        <w:rPr>
          <w:bCs/>
        </w:rPr>
        <w:t xml:space="preserve"> </w:t>
      </w:r>
      <w:r w:rsidRPr="00376F57">
        <w:rPr>
          <w:bCs/>
        </w:rPr>
        <w:t>set</w:t>
      </w:r>
      <w:r w:rsidR="00883178">
        <w:rPr>
          <w:bCs/>
        </w:rPr>
        <w:t xml:space="preserve"> </w:t>
      </w:r>
      <w:r w:rsidRPr="00376F57">
        <w:rPr>
          <w:bCs/>
        </w:rPr>
        <w:t>out</w:t>
      </w:r>
      <w:r w:rsidR="00883178">
        <w:rPr>
          <w:bCs/>
        </w:rPr>
        <w:t xml:space="preserve"> </w:t>
      </w:r>
      <w:r w:rsidRPr="00376F57">
        <w:rPr>
          <w:bCs/>
        </w:rPr>
        <w:t>in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2030</w:t>
      </w:r>
      <w:r w:rsidR="00883178">
        <w:rPr>
          <w:bCs/>
        </w:rPr>
        <w:t xml:space="preserve"> </w:t>
      </w:r>
      <w:r w:rsidRPr="00376F57">
        <w:rPr>
          <w:bCs/>
        </w:rPr>
        <w:t>Agenda</w:t>
      </w:r>
      <w:r w:rsidR="00883178">
        <w:rPr>
          <w:bCs/>
        </w:rPr>
        <w:t xml:space="preserve"> </w:t>
      </w:r>
      <w:r w:rsidRPr="00376F57">
        <w:rPr>
          <w:bCs/>
        </w:rPr>
        <w:t>for</w:t>
      </w:r>
      <w:r w:rsidR="00883178">
        <w:rPr>
          <w:bCs/>
        </w:rPr>
        <w:t xml:space="preserve"> </w:t>
      </w:r>
      <w:r w:rsidRPr="00376F57">
        <w:rPr>
          <w:bCs/>
        </w:rPr>
        <w:t>Sustainable</w:t>
      </w:r>
      <w:r w:rsidR="00883178">
        <w:rPr>
          <w:bCs/>
        </w:rPr>
        <w:t xml:space="preserve"> </w:t>
      </w:r>
      <w:r w:rsidRPr="00376F57">
        <w:rPr>
          <w:bCs/>
        </w:rPr>
        <w:t>Development,</w:t>
      </w:r>
      <w:r w:rsidR="00883178">
        <w:rPr>
          <w:bCs/>
        </w:rPr>
        <w:t xml:space="preserve"> </w:t>
      </w:r>
      <w:r w:rsidRPr="00376F57">
        <w:rPr>
          <w:bCs/>
        </w:rPr>
        <w:t>notwithstanding</w:t>
      </w:r>
      <w:r w:rsidR="00883178">
        <w:rPr>
          <w:bCs/>
        </w:rPr>
        <w:t xml:space="preserve"> </w:t>
      </w:r>
      <w:r w:rsidRPr="00376F57">
        <w:rPr>
          <w:bCs/>
        </w:rPr>
        <w:t>trade-offs</w:t>
      </w:r>
      <w:r w:rsidR="00883178">
        <w:rPr>
          <w:bCs/>
        </w:rPr>
        <w:t xml:space="preserve"> </w:t>
      </w:r>
      <w:r w:rsidRPr="00376F57">
        <w:rPr>
          <w:bCs/>
        </w:rPr>
        <w:t>in</w:t>
      </w:r>
      <w:r w:rsidR="00883178">
        <w:rPr>
          <w:bCs/>
        </w:rPr>
        <w:t xml:space="preserve"> </w:t>
      </w:r>
      <w:r w:rsidRPr="00376F57">
        <w:rPr>
          <w:bCs/>
        </w:rPr>
        <w:t>some</w:t>
      </w:r>
      <w:r w:rsidR="00883178">
        <w:rPr>
          <w:bCs/>
        </w:rPr>
        <w:t xml:space="preserve"> </w:t>
      </w:r>
      <w:r w:rsidRPr="00376F57">
        <w:rPr>
          <w:bCs/>
        </w:rPr>
        <w:t>cases.</w:t>
      </w:r>
      <w:r w:rsidR="00883178">
        <w:rPr>
          <w:bCs/>
        </w:rPr>
        <w:t xml:space="preserve"> </w:t>
      </w:r>
      <w:r w:rsidRPr="00376F57">
        <w:rPr>
          <w:bCs/>
        </w:rPr>
        <w:t>According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Working</w:t>
      </w:r>
      <w:r w:rsidR="00883178">
        <w:rPr>
          <w:bCs/>
        </w:rPr>
        <w:t xml:space="preserve"> </w:t>
      </w:r>
      <w:r w:rsidRPr="00376F57">
        <w:rPr>
          <w:bCs/>
        </w:rPr>
        <w:t>Group,</w:t>
      </w:r>
      <w:r w:rsidR="00883178">
        <w:rPr>
          <w:bCs/>
        </w:rPr>
        <w:t xml:space="preserve"> </w:t>
      </w:r>
      <w:r w:rsidRPr="00376F57">
        <w:rPr>
          <w:bCs/>
        </w:rPr>
        <w:t>projected</w:t>
      </w:r>
      <w:r w:rsidR="00883178">
        <w:rPr>
          <w:bCs/>
        </w:rPr>
        <w:t xml:space="preserve"> </w:t>
      </w:r>
      <w:r w:rsidRPr="00376F57">
        <w:t>global</w:t>
      </w:r>
      <w:r w:rsidR="00883178">
        <w:rPr>
          <w:bCs/>
        </w:rPr>
        <w:t xml:space="preserve"> </w:t>
      </w:r>
      <w:r w:rsidRPr="00376F57">
        <w:rPr>
          <w:bCs/>
        </w:rPr>
        <w:t>emissions</w:t>
      </w:r>
      <w:r w:rsidR="00883178">
        <w:rPr>
          <w:bCs/>
        </w:rPr>
        <w:t xml:space="preserve"> </w:t>
      </w:r>
      <w:r w:rsidRPr="00376F57">
        <w:rPr>
          <w:bCs/>
        </w:rPr>
        <w:t>from</w:t>
      </w:r>
      <w:r w:rsidR="00883178">
        <w:rPr>
          <w:bCs/>
        </w:rPr>
        <w:t xml:space="preserve"> </w:t>
      </w:r>
      <w:r w:rsidRPr="00376F57">
        <w:rPr>
          <w:bCs/>
        </w:rPr>
        <w:t>aggregated</w:t>
      </w:r>
      <w:r w:rsidR="00883178">
        <w:rPr>
          <w:bCs/>
        </w:rPr>
        <w:t xml:space="preserve"> </w:t>
      </w:r>
      <w:r w:rsidRPr="00376F57">
        <w:rPr>
          <w:bCs/>
        </w:rPr>
        <w:t>nationally</w:t>
      </w:r>
      <w:r w:rsidR="00883178">
        <w:rPr>
          <w:bCs/>
        </w:rPr>
        <w:t xml:space="preserve"> </w:t>
      </w:r>
      <w:r w:rsidRPr="00376F57">
        <w:rPr>
          <w:bCs/>
        </w:rPr>
        <w:t>determined</w:t>
      </w:r>
      <w:r w:rsidR="00883178">
        <w:rPr>
          <w:bCs/>
        </w:rPr>
        <w:t xml:space="preserve"> </w:t>
      </w:r>
      <w:r w:rsidRPr="00376F57">
        <w:rPr>
          <w:bCs/>
        </w:rPr>
        <w:t>contributions</w:t>
      </w:r>
      <w:r w:rsidR="00883178">
        <w:rPr>
          <w:bCs/>
        </w:rPr>
        <w:t xml:space="preserve"> </w:t>
      </w:r>
      <w:r w:rsidRPr="00376F57">
        <w:rPr>
          <w:bCs/>
        </w:rPr>
        <w:t>place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goal</w:t>
      </w:r>
      <w:r w:rsidR="00883178">
        <w:rPr>
          <w:bCs/>
        </w:rPr>
        <w:t xml:space="preserve"> </w:t>
      </w:r>
      <w:r w:rsidRPr="00376F57">
        <w:rPr>
          <w:bCs/>
        </w:rPr>
        <w:t>of</w:t>
      </w:r>
      <w:r w:rsidR="00883178">
        <w:rPr>
          <w:bCs/>
        </w:rPr>
        <w:t xml:space="preserve"> </w:t>
      </w:r>
      <w:r w:rsidRPr="00376F57">
        <w:rPr>
          <w:bCs/>
        </w:rPr>
        <w:t>limiting</w:t>
      </w:r>
      <w:r w:rsidR="00883178">
        <w:rPr>
          <w:bCs/>
        </w:rPr>
        <w:t xml:space="preserve"> </w:t>
      </w:r>
      <w:r w:rsidRPr="00376F57">
        <w:rPr>
          <w:bCs/>
        </w:rPr>
        <w:t>global</w:t>
      </w:r>
      <w:r w:rsidR="00883178">
        <w:rPr>
          <w:bCs/>
        </w:rPr>
        <w:t xml:space="preserve"> </w:t>
      </w:r>
      <w:r w:rsidRPr="00376F57">
        <w:rPr>
          <w:bCs/>
        </w:rPr>
        <w:t>warming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1.5°</w:t>
      </w:r>
      <w:r w:rsidR="00883178">
        <w:rPr>
          <w:bCs/>
        </w:rPr>
        <w:t xml:space="preserve"> </w:t>
      </w:r>
      <w:r w:rsidRPr="00376F57">
        <w:rPr>
          <w:bCs/>
        </w:rPr>
        <w:t>C</w:t>
      </w:r>
      <w:r w:rsidR="00883178">
        <w:rPr>
          <w:bCs/>
        </w:rPr>
        <w:t xml:space="preserve"> </w:t>
      </w:r>
      <w:r w:rsidRPr="00376F57">
        <w:rPr>
          <w:bCs/>
        </w:rPr>
        <w:t>beyond</w:t>
      </w:r>
      <w:r w:rsidR="00883178">
        <w:rPr>
          <w:bCs/>
        </w:rPr>
        <w:t xml:space="preserve"> </w:t>
      </w:r>
      <w:r w:rsidRPr="00376F57">
        <w:rPr>
          <w:bCs/>
        </w:rPr>
        <w:t>reach</w:t>
      </w:r>
      <w:r w:rsidR="00883178">
        <w:rPr>
          <w:bCs/>
        </w:rPr>
        <w:t xml:space="preserve"> </w:t>
      </w:r>
      <w:r w:rsidRPr="00376F57">
        <w:rPr>
          <w:bCs/>
        </w:rPr>
        <w:t>and</w:t>
      </w:r>
      <w:r w:rsidR="00883178">
        <w:rPr>
          <w:bCs/>
        </w:rPr>
        <w:t xml:space="preserve"> </w:t>
      </w:r>
      <w:r w:rsidRPr="00376F57">
        <w:rPr>
          <w:bCs/>
        </w:rPr>
        <w:t>will</w:t>
      </w:r>
      <w:r w:rsidR="00883178">
        <w:rPr>
          <w:bCs/>
        </w:rPr>
        <w:t xml:space="preserve"> </w:t>
      </w:r>
      <w:r w:rsidRPr="00376F57">
        <w:rPr>
          <w:bCs/>
        </w:rPr>
        <w:t>make</w:t>
      </w:r>
      <w:r w:rsidR="00883178">
        <w:rPr>
          <w:bCs/>
        </w:rPr>
        <w:t xml:space="preserve"> </w:t>
      </w:r>
      <w:r w:rsidRPr="00376F57">
        <w:rPr>
          <w:bCs/>
        </w:rPr>
        <w:t>it</w:t>
      </w:r>
      <w:r w:rsidR="00883178">
        <w:rPr>
          <w:bCs/>
        </w:rPr>
        <w:t xml:space="preserve"> </w:t>
      </w:r>
      <w:r w:rsidRPr="00376F57">
        <w:rPr>
          <w:bCs/>
        </w:rPr>
        <w:t>harder</w:t>
      </w:r>
      <w:r w:rsidR="00883178">
        <w:rPr>
          <w:bCs/>
        </w:rPr>
        <w:t xml:space="preserve"> </w:t>
      </w:r>
      <w:r w:rsidRPr="00376F57">
        <w:rPr>
          <w:bCs/>
        </w:rPr>
        <w:t>after</w:t>
      </w:r>
      <w:r w:rsidR="00883178">
        <w:rPr>
          <w:bCs/>
        </w:rPr>
        <w:t xml:space="preserve"> </w:t>
      </w:r>
      <w:r w:rsidRPr="00376F57">
        <w:rPr>
          <w:bCs/>
        </w:rPr>
        <w:t>2030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limit</w:t>
      </w:r>
      <w:r w:rsidR="00883178">
        <w:rPr>
          <w:bCs/>
        </w:rPr>
        <w:t xml:space="preserve"> </w:t>
      </w:r>
      <w:r w:rsidRPr="00376F57">
        <w:rPr>
          <w:bCs/>
        </w:rPr>
        <w:t>global</w:t>
      </w:r>
      <w:r w:rsidR="00883178">
        <w:rPr>
          <w:bCs/>
        </w:rPr>
        <w:t xml:space="preserve"> </w:t>
      </w:r>
      <w:r w:rsidRPr="00376F57">
        <w:rPr>
          <w:bCs/>
        </w:rPr>
        <w:t>warming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2°</w:t>
      </w:r>
      <w:r w:rsidR="00883178">
        <w:rPr>
          <w:bCs/>
        </w:rPr>
        <w:t xml:space="preserve"> </w:t>
      </w:r>
      <w:r w:rsidRPr="00376F57">
        <w:rPr>
          <w:bCs/>
        </w:rPr>
        <w:t>C.</w:t>
      </w:r>
      <w:r w:rsidR="00883178">
        <w:rPr>
          <w:bCs/>
        </w:rPr>
        <w:t xml:space="preserve"> </w:t>
      </w:r>
      <w:r w:rsidRPr="00376F57">
        <w:rPr>
          <w:bCs/>
        </w:rPr>
        <w:t>Consequently,</w:t>
      </w:r>
      <w:r w:rsidR="00883178">
        <w:rPr>
          <w:bCs/>
        </w:rPr>
        <w:t xml:space="preserve"> </w:t>
      </w:r>
      <w:r w:rsidRPr="00376F57">
        <w:rPr>
          <w:bCs/>
        </w:rPr>
        <w:t>unless</w:t>
      </w:r>
      <w:r w:rsidR="00883178">
        <w:rPr>
          <w:bCs/>
        </w:rPr>
        <w:t xml:space="preserve"> </w:t>
      </w:r>
      <w:r w:rsidRPr="00376F57">
        <w:rPr>
          <w:bCs/>
        </w:rPr>
        <w:t>mitigation</w:t>
      </w:r>
      <w:r w:rsidR="00883178">
        <w:rPr>
          <w:bCs/>
        </w:rPr>
        <w:t xml:space="preserve"> </w:t>
      </w:r>
      <w:r w:rsidRPr="00376F57">
        <w:rPr>
          <w:bCs/>
        </w:rPr>
        <w:t>actions</w:t>
      </w:r>
      <w:r w:rsidR="00883178">
        <w:rPr>
          <w:bCs/>
        </w:rPr>
        <w:t xml:space="preserve"> </w:t>
      </w:r>
      <w:r w:rsidRPr="00376F57">
        <w:rPr>
          <w:bCs/>
        </w:rPr>
        <w:t>are</w:t>
      </w:r>
      <w:r w:rsidR="00883178">
        <w:rPr>
          <w:bCs/>
        </w:rPr>
        <w:t xml:space="preserve"> </w:t>
      </w:r>
      <w:r w:rsidRPr="00376F57">
        <w:rPr>
          <w:bCs/>
        </w:rPr>
        <w:t>drastically</w:t>
      </w:r>
      <w:r w:rsidR="00883178">
        <w:rPr>
          <w:bCs/>
        </w:rPr>
        <w:t xml:space="preserve"> </w:t>
      </w:r>
      <w:r w:rsidRPr="00376F57">
        <w:rPr>
          <w:bCs/>
        </w:rPr>
        <w:t>enhanced,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impacts</w:t>
      </w:r>
      <w:r w:rsidR="00883178">
        <w:rPr>
          <w:bCs/>
        </w:rPr>
        <w:t xml:space="preserve"> </w:t>
      </w:r>
      <w:r w:rsidRPr="00376F57">
        <w:rPr>
          <w:bCs/>
        </w:rPr>
        <w:t>of</w:t>
      </w:r>
      <w:r w:rsidR="00883178">
        <w:rPr>
          <w:bCs/>
        </w:rPr>
        <w:t xml:space="preserve"> </w:t>
      </w:r>
      <w:r w:rsidRPr="00376F57">
        <w:rPr>
          <w:bCs/>
        </w:rPr>
        <w:t>climate</w:t>
      </w:r>
      <w:r w:rsidR="00883178">
        <w:rPr>
          <w:bCs/>
        </w:rPr>
        <w:t xml:space="preserve"> </w:t>
      </w:r>
      <w:r w:rsidRPr="00376F57">
        <w:rPr>
          <w:bCs/>
        </w:rPr>
        <w:t>change</w:t>
      </w:r>
      <w:r w:rsidR="00883178">
        <w:rPr>
          <w:bCs/>
        </w:rPr>
        <w:t xml:space="preserve"> </w:t>
      </w:r>
      <w:r w:rsidRPr="00376F57">
        <w:rPr>
          <w:bCs/>
        </w:rPr>
        <w:t>will</w:t>
      </w:r>
      <w:r w:rsidR="00883178">
        <w:rPr>
          <w:bCs/>
        </w:rPr>
        <w:t xml:space="preserve"> </w:t>
      </w:r>
      <w:r w:rsidRPr="00376F57">
        <w:rPr>
          <w:bCs/>
        </w:rPr>
        <w:t>have</w:t>
      </w:r>
      <w:r w:rsidR="00883178">
        <w:rPr>
          <w:bCs/>
        </w:rPr>
        <w:t xml:space="preserve"> </w:t>
      </w:r>
      <w:r w:rsidRPr="00376F57">
        <w:rPr>
          <w:bCs/>
        </w:rPr>
        <w:t>significant</w:t>
      </w:r>
      <w:r w:rsidR="00883178">
        <w:rPr>
          <w:bCs/>
        </w:rPr>
        <w:t xml:space="preserve"> </w:t>
      </w:r>
      <w:r w:rsidRPr="00376F57">
        <w:rPr>
          <w:bCs/>
        </w:rPr>
        <w:t>human</w:t>
      </w:r>
      <w:r w:rsidR="00883178">
        <w:rPr>
          <w:bCs/>
        </w:rPr>
        <w:t xml:space="preserve"> </w:t>
      </w:r>
      <w:r w:rsidRPr="00376F57">
        <w:rPr>
          <w:bCs/>
        </w:rPr>
        <w:t>rights</w:t>
      </w:r>
      <w:r w:rsidR="00883178">
        <w:rPr>
          <w:bCs/>
        </w:rPr>
        <w:t xml:space="preserve"> </w:t>
      </w:r>
      <w:r w:rsidRPr="00376F57">
        <w:rPr>
          <w:bCs/>
        </w:rPr>
        <w:t>implications.</w:t>
      </w:r>
    </w:p>
    <w:p w14:paraId="00DD8CAA" w14:textId="36F61963" w:rsidR="00F36E7C" w:rsidRPr="00376F57" w:rsidRDefault="00F36E7C" w:rsidP="00F36E7C">
      <w:pPr>
        <w:pStyle w:val="ParaNoG"/>
        <w:rPr>
          <w:bCs/>
        </w:rPr>
      </w:pPr>
      <w:r w:rsidRPr="00376F57">
        <w:rPr>
          <w:bCs/>
        </w:rPr>
        <w:t>Working</w:t>
      </w:r>
      <w:r w:rsidR="00883178">
        <w:rPr>
          <w:bCs/>
        </w:rPr>
        <w:t xml:space="preserve"> </w:t>
      </w:r>
      <w:r w:rsidRPr="00376F57">
        <w:rPr>
          <w:bCs/>
        </w:rPr>
        <w:t>Group</w:t>
      </w:r>
      <w:r w:rsidR="00883178">
        <w:rPr>
          <w:bCs/>
        </w:rPr>
        <w:t xml:space="preserve"> </w:t>
      </w:r>
      <w:r w:rsidRPr="00376F57">
        <w:rPr>
          <w:bCs/>
        </w:rPr>
        <w:t>III</w:t>
      </w:r>
      <w:r w:rsidR="00883178">
        <w:rPr>
          <w:bCs/>
        </w:rPr>
        <w:t xml:space="preserve"> </w:t>
      </w:r>
      <w:r w:rsidRPr="00376F57">
        <w:rPr>
          <w:bCs/>
        </w:rPr>
        <w:t>suggested</w:t>
      </w:r>
      <w:r w:rsidR="00883178">
        <w:rPr>
          <w:bCs/>
        </w:rPr>
        <w:t xml:space="preserve"> </w:t>
      </w:r>
      <w:r w:rsidRPr="00376F57">
        <w:rPr>
          <w:bCs/>
        </w:rPr>
        <w:t>that</w:t>
      </w:r>
      <w:r w:rsidR="00883178">
        <w:rPr>
          <w:bCs/>
        </w:rPr>
        <w:t xml:space="preserve"> </w:t>
      </w:r>
      <w:r w:rsidRPr="00376F57">
        <w:t>shifting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pathways</w:t>
      </w:r>
      <w:r w:rsidR="00883178">
        <w:t xml:space="preserve"> </w:t>
      </w:r>
      <w:r w:rsidRPr="00376F57">
        <w:t>towards</w:t>
      </w:r>
      <w:r w:rsidR="00883178">
        <w:t xml:space="preserve"> </w:t>
      </w:r>
      <w:r w:rsidRPr="00376F57">
        <w:t>sustainability</w:t>
      </w:r>
      <w:r w:rsidR="00883178">
        <w:t xml:space="preserve"> </w:t>
      </w:r>
      <w:r w:rsidRPr="00376F57">
        <w:t>implied</w:t>
      </w:r>
      <w:r w:rsidR="00883178">
        <w:t xml:space="preserve"> </w:t>
      </w:r>
      <w:r w:rsidRPr="00376F57">
        <w:t>making</w:t>
      </w:r>
      <w:r w:rsidR="00883178">
        <w:t xml:space="preserve"> </w:t>
      </w:r>
      <w:r w:rsidRPr="00376F57">
        <w:t>transformative</w:t>
      </w:r>
      <w:r w:rsidR="00883178">
        <w:t xml:space="preserve"> </w:t>
      </w:r>
      <w:r w:rsidRPr="00376F57">
        <w:t>changes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disrupt</w:t>
      </w:r>
      <w:r w:rsidR="00883178">
        <w:t xml:space="preserve"> </w:t>
      </w:r>
      <w:r w:rsidRPr="00376F57">
        <w:t>existing</w:t>
      </w:r>
      <w:r w:rsidR="00883178">
        <w:t xml:space="preserve"> </w:t>
      </w:r>
      <w:r w:rsidRPr="00376F57">
        <w:t>developmental</w:t>
      </w:r>
      <w:r w:rsidR="00883178">
        <w:t xml:space="preserve"> </w:t>
      </w:r>
      <w:r w:rsidRPr="00376F57">
        <w:t>trends.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choices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marginal,</w:t>
      </w:r>
      <w:r w:rsidR="00883178">
        <w:t xml:space="preserve"> </w:t>
      </w:r>
      <w:r w:rsidRPr="00376F57">
        <w:t>but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include</w:t>
      </w:r>
      <w:r w:rsidR="00883178">
        <w:t xml:space="preserve"> </w:t>
      </w:r>
      <w:r w:rsidRPr="00376F57">
        <w:t>technological,</w:t>
      </w:r>
      <w:r w:rsidR="00883178">
        <w:t xml:space="preserve"> </w:t>
      </w:r>
      <w:r w:rsidRPr="00376F57">
        <w:t>systemic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socio-behavioural</w:t>
      </w:r>
      <w:r w:rsidR="00883178">
        <w:t xml:space="preserve"> </w:t>
      </w:r>
      <w:r w:rsidRPr="00376F57">
        <w:t>changes.</w:t>
      </w:r>
    </w:p>
    <w:p w14:paraId="4E6A003E" w14:textId="502C337F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extraction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fossil</w:t>
      </w:r>
      <w:r w:rsidR="00883178">
        <w:t xml:space="preserve"> </w:t>
      </w:r>
      <w:r w:rsidRPr="00376F57">
        <w:t>fuels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creating</w:t>
      </w:r>
      <w:r w:rsidR="00883178">
        <w:t xml:space="preserve"> </w:t>
      </w:r>
      <w:r w:rsidRPr="00376F57">
        <w:t>significant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communities.</w:t>
      </w:r>
      <w:r w:rsidR="00883178">
        <w:t xml:space="preserve"> </w:t>
      </w:r>
      <w:r w:rsidRPr="00376F57">
        <w:t>Air</w:t>
      </w:r>
      <w:r w:rsidR="00883178">
        <w:t xml:space="preserve"> </w:t>
      </w:r>
      <w:r w:rsidRPr="00376F57">
        <w:t>pollution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burning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fossil</w:t>
      </w:r>
      <w:r w:rsidR="00883178">
        <w:t xml:space="preserve"> </w:t>
      </w:r>
      <w:r w:rsidRPr="00376F57">
        <w:t>fuels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creating</w:t>
      </w:r>
      <w:r w:rsidR="00883178">
        <w:t xml:space="preserve"> </w:t>
      </w:r>
      <w:r w:rsidRPr="00376F57">
        <w:t>serious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health</w:t>
      </w:r>
      <w:r w:rsidR="00883178">
        <w:t xml:space="preserve"> </w:t>
      </w:r>
      <w:r w:rsidRPr="00376F57">
        <w:t>problems</w:t>
      </w:r>
      <w:r w:rsidR="00883178">
        <w:t xml:space="preserve"> </w:t>
      </w:r>
      <w:r w:rsidRPr="00376F57">
        <w:t>throughout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world.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extraction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oil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sensitive</w:t>
      </w:r>
      <w:r w:rsidR="00883178">
        <w:t xml:space="preserve"> </w:t>
      </w:r>
      <w:r w:rsidRPr="00376F57">
        <w:t>areas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having</w:t>
      </w:r>
      <w:r w:rsidR="00883178">
        <w:t xml:space="preserve"> </w:t>
      </w:r>
      <w:r w:rsidRPr="00376F57">
        <w:t>further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</w:p>
    <w:p w14:paraId="539823FD" w14:textId="4860FC38" w:rsidR="00F36E7C" w:rsidRPr="00376F57" w:rsidRDefault="00F36E7C" w:rsidP="00F36E7C">
      <w:pPr>
        <w:pStyle w:val="ParaNoG"/>
      </w:pPr>
      <w:r w:rsidRPr="00376F57">
        <w:rPr>
          <w:bCs/>
          <w:iCs/>
        </w:rPr>
        <w:t>While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action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to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reduce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greenhouse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gas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emissions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is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urgently</w:t>
      </w:r>
      <w:r w:rsidR="00883178">
        <w:rPr>
          <w:bCs/>
          <w:iCs/>
        </w:rPr>
        <w:t xml:space="preserve"> </w:t>
      </w:r>
      <w:r w:rsidRPr="00376F57">
        <w:rPr>
          <w:bCs/>
          <w:iCs/>
        </w:rPr>
        <w:t>needed,</w:t>
      </w:r>
      <w:r w:rsidR="00883178">
        <w:rPr>
          <w:bCs/>
          <w:i/>
          <w:iCs/>
        </w:rPr>
        <w:t xml:space="preserve"> </w:t>
      </w:r>
      <w:r w:rsidRPr="00376F57">
        <w:t>the</w:t>
      </w:r>
      <w:r w:rsidR="00883178">
        <w:t xml:space="preserve"> </w:t>
      </w:r>
      <w:r w:rsidRPr="00376F57">
        <w:t>Panel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transformative</w:t>
      </w:r>
      <w:r w:rsidR="00883178">
        <w:t xml:space="preserve"> </w:t>
      </w:r>
      <w:r w:rsidRPr="00376F57">
        <w:t>changes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significant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impacts.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removal</w:t>
      </w:r>
      <w:r w:rsidR="00883178">
        <w:t xml:space="preserve"> </w:t>
      </w:r>
      <w:r w:rsidRPr="00376F57">
        <w:t>technologies,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trading,</w:t>
      </w:r>
      <w:r w:rsidR="00883178">
        <w:t xml:space="preserve"> </w:t>
      </w:r>
      <w:r w:rsidRPr="00376F57">
        <w:t>increased</w:t>
      </w:r>
      <w:r w:rsidR="00883178">
        <w:t xml:space="preserve"> </w:t>
      </w:r>
      <w:r w:rsidRPr="00376F57">
        <w:t>use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sequestration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biofuels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likely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people,</w:t>
      </w:r>
      <w:r w:rsidR="00883178">
        <w:t xml:space="preserve"> </w:t>
      </w:r>
      <w:r w:rsidRPr="00376F57">
        <w:t>particularly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mining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metals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electric</w:t>
      </w:r>
      <w:r w:rsidR="00883178">
        <w:t xml:space="preserve"> </w:t>
      </w:r>
      <w:r w:rsidRPr="00376F57">
        <w:t>vehicle</w:t>
      </w:r>
      <w:r w:rsidR="00883178">
        <w:t xml:space="preserve"> </w:t>
      </w:r>
      <w:r w:rsidRPr="00376F57">
        <w:t>batteries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electricity</w:t>
      </w:r>
      <w:r w:rsidR="00883178">
        <w:t xml:space="preserve"> </w:t>
      </w:r>
      <w:r w:rsidRPr="00376F57">
        <w:t>storage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another</w:t>
      </w:r>
      <w:r w:rsidR="00883178">
        <w:t xml:space="preserve"> </w:t>
      </w:r>
      <w:r w:rsidRPr="00376F57">
        <w:t>activity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having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effect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</w:p>
    <w:p w14:paraId="0EA98192" w14:textId="52D8B8EA" w:rsidR="00F36E7C" w:rsidRPr="00376F57" w:rsidRDefault="00074337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17DC7DA8" w14:textId="6F14E2D1" w:rsidR="00F36E7C" w:rsidRPr="00376F57" w:rsidRDefault="00F36E7C" w:rsidP="00F87A18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will:</w:t>
      </w:r>
      <w:r w:rsidR="00883178">
        <w:t xml:space="preserve"> </w:t>
      </w:r>
    </w:p>
    <w:p w14:paraId="00CD51AE" w14:textId="763E7060" w:rsidR="00F36E7C" w:rsidRPr="00376F57" w:rsidRDefault="00F36E7C" w:rsidP="00F87A18">
      <w:pPr>
        <w:pStyle w:val="SingleTxtG"/>
      </w:pPr>
      <w:r w:rsidRPr="00376F57">
        <w:tab/>
        <w:t>(a)</w:t>
      </w:r>
      <w:r w:rsidR="00F87A18" w:rsidRPr="00376F57">
        <w:tab/>
      </w:r>
      <w:r w:rsidRPr="00376F57">
        <w:t>Engage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dialogue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ways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enhance</w:t>
      </w:r>
      <w:r w:rsidR="00883178">
        <w:t xml:space="preserve"> </w:t>
      </w:r>
      <w:r w:rsidRPr="00376F57">
        <w:t>mitigation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support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Goals,</w:t>
      </w:r>
      <w:r w:rsidR="00883178">
        <w:t xml:space="preserve"> </w:t>
      </w:r>
      <w:r w:rsidRPr="00376F57">
        <w:t>while</w:t>
      </w:r>
      <w:r w:rsidR="00883178">
        <w:t xml:space="preserve"> </w:t>
      </w:r>
      <w:r w:rsidRPr="00376F57">
        <w:t>limiting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arising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warming</w:t>
      </w:r>
      <w:r w:rsidR="00883178">
        <w:t xml:space="preserve"> </w:t>
      </w:r>
      <w:r w:rsidRPr="00376F57">
        <w:t>atmosphere;</w:t>
      </w:r>
      <w:r w:rsidR="00883178">
        <w:t xml:space="preserve"> </w:t>
      </w:r>
    </w:p>
    <w:p w14:paraId="5FC323CD" w14:textId="37557873" w:rsidR="00F36E7C" w:rsidRPr="00376F57" w:rsidRDefault="00F36E7C" w:rsidP="00F87A18">
      <w:pPr>
        <w:pStyle w:val="SingleTxtG"/>
      </w:pPr>
      <w:r w:rsidRPr="00376F57">
        <w:tab/>
        <w:t>(b)</w:t>
      </w:r>
      <w:r w:rsidR="00F87A18" w:rsidRPr="00376F57">
        <w:tab/>
      </w:r>
      <w:r w:rsidRPr="00376F57">
        <w:t>Engage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review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enhance</w:t>
      </w:r>
      <w:r w:rsidR="00883178">
        <w:t xml:space="preserve"> </w:t>
      </w:r>
      <w:r w:rsidRPr="00376F57">
        <w:rPr>
          <w:bCs/>
        </w:rPr>
        <w:t>nationally</w:t>
      </w:r>
      <w:r w:rsidR="00883178">
        <w:rPr>
          <w:bCs/>
        </w:rPr>
        <w:t xml:space="preserve"> </w:t>
      </w:r>
      <w:r w:rsidRPr="00376F57">
        <w:rPr>
          <w:bCs/>
        </w:rPr>
        <w:t>determined</w:t>
      </w:r>
      <w:r w:rsidR="00883178">
        <w:rPr>
          <w:bCs/>
        </w:rPr>
        <w:t xml:space="preserve"> </w:t>
      </w:r>
      <w:r w:rsidRPr="00376F57">
        <w:rPr>
          <w:bCs/>
        </w:rPr>
        <w:t>contributions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implications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understood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inscribed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rPr>
          <w:bCs/>
        </w:rPr>
        <w:t>relevant</w:t>
      </w:r>
      <w:r w:rsidR="00883178">
        <w:t xml:space="preserve"> </w:t>
      </w:r>
      <w:r w:rsidRPr="00376F57">
        <w:t>assessment</w:t>
      </w:r>
      <w:r w:rsidR="00883178">
        <w:t xml:space="preserve"> </w:t>
      </w:r>
      <w:r w:rsidRPr="00376F57">
        <w:t>mechanisms.</w:t>
      </w:r>
      <w:r w:rsidR="00883178">
        <w:t xml:space="preserve"> </w:t>
      </w:r>
    </w:p>
    <w:p w14:paraId="5C415407" w14:textId="56B91D41" w:rsidR="00F36E7C" w:rsidRPr="00376F57" w:rsidRDefault="00F36E7C" w:rsidP="00FE159F">
      <w:pPr>
        <w:pStyle w:val="H23G"/>
        <w:outlineLvl w:val="2"/>
      </w:pPr>
      <w:bookmarkStart w:id="6" w:name="_Toc104788985"/>
      <w:r w:rsidRPr="00376F57">
        <w:tab/>
        <w:t>2.</w:t>
      </w:r>
      <w:r w:rsidRPr="00376F57">
        <w:tab/>
        <w:t>Adaptation</w:t>
      </w:r>
      <w:bookmarkEnd w:id="6"/>
    </w:p>
    <w:p w14:paraId="51416CB4" w14:textId="23C1483C" w:rsidR="00F36E7C" w:rsidRPr="00376F57" w:rsidRDefault="00F36E7C" w:rsidP="00F36E7C">
      <w:pPr>
        <w:pStyle w:val="ParaNoG"/>
        <w:rPr>
          <w:color w:val="1A1919"/>
          <w:shd w:val="clear" w:color="auto" w:fill="FFFFFF"/>
        </w:rPr>
      </w:pPr>
      <w:r w:rsidRPr="00376F57">
        <w:t>The</w:t>
      </w:r>
      <w:r w:rsidR="00883178">
        <w:t xml:space="preserve"> </w:t>
      </w:r>
      <w:r w:rsidRPr="00376F57">
        <w:t>twenty-seventh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Framework</w:t>
      </w:r>
      <w:r w:rsidR="00883178">
        <w:t xml:space="preserve"> </w:t>
      </w:r>
      <w:r w:rsidRPr="00376F57">
        <w:t>Convention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Fourth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serving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meeting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Paris</w:t>
      </w:r>
      <w:r w:rsidR="00883178">
        <w:t xml:space="preserve"> </w:t>
      </w:r>
      <w:r w:rsidRPr="00376F57">
        <w:t>Agreement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held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Sharm</w:t>
      </w:r>
      <w:r w:rsidR="00883178">
        <w:t xml:space="preserve"> </w:t>
      </w:r>
      <w:r w:rsidRPr="00376F57">
        <w:t>el-Sheikh,</w:t>
      </w:r>
      <w:r w:rsidR="00883178">
        <w:t xml:space="preserve"> </w:t>
      </w:r>
      <w:r w:rsidRPr="00376F57">
        <w:t>Egypt,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6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8</w:t>
      </w:r>
      <w:r w:rsidR="00883178">
        <w:t xml:space="preserve"> </w:t>
      </w:r>
      <w:r w:rsidRPr="00376F57">
        <w:t>November</w:t>
      </w:r>
      <w:r w:rsidR="00883178">
        <w:t xml:space="preserve"> </w:t>
      </w:r>
      <w:r w:rsidRPr="00376F57">
        <w:t>2022,</w:t>
      </w:r>
      <w:r w:rsidR="00883178">
        <w:t xml:space="preserve"> </w:t>
      </w:r>
      <w:r w:rsidRPr="00376F57">
        <w:t>offering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key</w:t>
      </w:r>
      <w:r w:rsidR="00883178">
        <w:t xml:space="preserve"> </w:t>
      </w:r>
      <w:r w:rsidRPr="00376F57">
        <w:t>opportunity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achieve</w:t>
      </w:r>
      <w:r w:rsidR="00883178">
        <w:t xml:space="preserve"> </w:t>
      </w:r>
      <w:r w:rsidRPr="00376F57">
        <w:t>progress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adaptation.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twenty-sixth</w:t>
      </w:r>
      <w:r w:rsidR="00883178">
        <w:t xml:space="preserve"> </w:t>
      </w:r>
      <w:r w:rsidRPr="00376F57">
        <w:t>session,</w:t>
      </w:r>
      <w:r w:rsidR="00883178">
        <w:t xml:space="preserve"> </w:t>
      </w:r>
      <w:r w:rsidRPr="00376F57">
        <w:t>held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Glasgow,</w:t>
      </w:r>
      <w:r w:rsidR="00883178">
        <w:t xml:space="preserve"> </w:t>
      </w:r>
      <w:r w:rsidRPr="00376F57">
        <w:t>Scotland,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31</w:t>
      </w:r>
      <w:r w:rsidR="00883178">
        <w:t xml:space="preserve"> </w:t>
      </w:r>
      <w:r w:rsidRPr="00376F57">
        <w:t>October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13</w:t>
      </w:r>
      <w:r w:rsidR="00883178">
        <w:t xml:space="preserve"> </w:t>
      </w:r>
      <w:r w:rsidRPr="00376F57">
        <w:t>November</w:t>
      </w:r>
      <w:r w:rsidR="00883178">
        <w:t xml:space="preserve"> </w:t>
      </w:r>
      <w:r w:rsidRPr="00376F57">
        <w:t>2021,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Convention</w:t>
      </w:r>
      <w:r w:rsidR="00883178">
        <w:t xml:space="preserve"> </w:t>
      </w:r>
      <w:r w:rsidRPr="00376F57">
        <w:rPr>
          <w:shd w:val="clear" w:color="auto" w:fill="FFFFFF"/>
        </w:rPr>
        <w:t>established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Glasgow-Sharm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el-Sheikh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work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programme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global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goal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adaptation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assess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progress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towards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goal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enable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implementation.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important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ensure</w:t>
      </w:r>
      <w:r w:rsidR="00883178">
        <w:rPr>
          <w:shd w:val="clear" w:color="auto" w:fill="FFFFFF"/>
        </w:rPr>
        <w:t xml:space="preserve"> </w:t>
      </w:r>
      <w:r w:rsidRPr="00376F57">
        <w:t>that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included</w:t>
      </w:r>
      <w:r w:rsidR="00883178"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global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goal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adaptation.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addition,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parties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Paris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Agreement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need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be</w:t>
      </w:r>
      <w:r w:rsidR="00883178">
        <w:rPr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encouraged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to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promote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rPr>
          <w:color w:val="1A1919"/>
          <w:shd w:val="clear" w:color="auto" w:fill="FFFFFF"/>
        </w:rPr>
        <w:t>are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included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in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their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national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adaptation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plans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and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adaptation</w:t>
      </w:r>
      <w:r w:rsidR="00883178">
        <w:rPr>
          <w:color w:val="1A1919"/>
          <w:shd w:val="clear" w:color="auto" w:fill="FFFFFF"/>
        </w:rPr>
        <w:t xml:space="preserve"> </w:t>
      </w:r>
      <w:r w:rsidRPr="00376F57">
        <w:rPr>
          <w:color w:val="1A1919"/>
          <w:shd w:val="clear" w:color="auto" w:fill="FFFFFF"/>
        </w:rPr>
        <w:t>communications.</w:t>
      </w:r>
    </w:p>
    <w:p w14:paraId="1160406F" w14:textId="01DC8973" w:rsidR="00F36E7C" w:rsidRPr="00376F57" w:rsidRDefault="00AD3F1B" w:rsidP="00FE159F">
      <w:pPr>
        <w:pStyle w:val="H4G"/>
        <w:outlineLvl w:val="3"/>
      </w:pPr>
      <w:r w:rsidRPr="00376F57">
        <w:lastRenderedPageBreak/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349495CD" w14:textId="587D1FD8" w:rsidR="00F36E7C" w:rsidRPr="00376F57" w:rsidRDefault="00F36E7C" w:rsidP="00AD3F1B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work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developing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guiding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principles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assist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States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implementing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their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rights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obligations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doing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so,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incorporate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rights-based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approach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their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adaptation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plans.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Such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plans</w:t>
      </w:r>
      <w:r w:rsidR="00883178">
        <w:rPr>
          <w:shd w:val="clear" w:color="auto" w:fill="FFFFFF"/>
        </w:rPr>
        <w:t xml:space="preserve"> </w:t>
      </w:r>
      <w:r w:rsidRPr="00376F57">
        <w:t>should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include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Pr="00376F57">
        <w:t>gender-responsive,</w:t>
      </w:r>
      <w:r w:rsidR="00883178">
        <w:t xml:space="preserve"> </w:t>
      </w:r>
      <w:r w:rsidRPr="00376F57">
        <w:t>age-sensitive,</w:t>
      </w:r>
      <w:r w:rsidR="00883178">
        <w:t xml:space="preserve"> </w:t>
      </w:r>
      <w:r w:rsidRPr="00376F57">
        <w:t>disability-inclusive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social-inclusion</w:t>
      </w:r>
      <w:r w:rsidR="00883178">
        <w:t xml:space="preserve"> </w:t>
      </w:r>
      <w:r w:rsidRPr="00376F57">
        <w:t>perspective,</w:t>
      </w:r>
      <w:r w:rsidR="00883178">
        <w:t xml:space="preserve"> </w:t>
      </w:r>
      <w:r w:rsidRPr="00376F57"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(k)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48/14.</w:t>
      </w:r>
    </w:p>
    <w:p w14:paraId="4343AB25" w14:textId="6AC63D6E" w:rsidR="00F36E7C" w:rsidRPr="00376F57" w:rsidRDefault="00F36E7C" w:rsidP="00FE159F">
      <w:pPr>
        <w:pStyle w:val="H23G"/>
        <w:outlineLvl w:val="2"/>
      </w:pPr>
      <w:bookmarkStart w:id="7" w:name="_Toc104788986"/>
      <w:r w:rsidRPr="00376F57">
        <w:tab/>
        <w:t>3.</w:t>
      </w:r>
      <w:r w:rsidRPr="00376F57">
        <w:tab/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bookmarkEnd w:id="7"/>
      <w:r w:rsidRPr="00376F57">
        <w:t>damage</w:t>
      </w:r>
    </w:p>
    <w:p w14:paraId="160983D5" w14:textId="5618F958" w:rsidR="00F36E7C" w:rsidRPr="00376F57" w:rsidRDefault="00F36E7C" w:rsidP="00F36E7C">
      <w:pPr>
        <w:pStyle w:val="ParaNoG"/>
      </w:pP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III</w:t>
      </w:r>
      <w:r w:rsidR="00883178">
        <w:t xml:space="preserve"> </w:t>
      </w:r>
      <w:r w:rsidRPr="00376F57">
        <w:t>reported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widespread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severe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natural</w:t>
      </w:r>
      <w:r w:rsidR="00883178">
        <w:t xml:space="preserve"> </w:t>
      </w:r>
      <w:r w:rsidRPr="00376F57">
        <w:t>systems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being</w:t>
      </w:r>
      <w:r w:rsidR="00883178">
        <w:t xml:space="preserve"> </w:t>
      </w:r>
      <w:r w:rsidRPr="00376F57">
        <w:t>driven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human-induced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changes,</w:t>
      </w:r>
      <w:r w:rsidR="00883178">
        <w:t xml:space="preserve"> </w:t>
      </w:r>
      <w:r w:rsidRPr="00376F57">
        <w:t>increasing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frequency</w:t>
      </w:r>
      <w:r w:rsidR="00883178">
        <w:t xml:space="preserve"> </w:t>
      </w:r>
      <w:r w:rsidRPr="00376F57">
        <w:t>and/or</w:t>
      </w:r>
      <w:r w:rsidR="00883178">
        <w:t xml:space="preserve"> </w:t>
      </w:r>
      <w:r w:rsidRPr="00376F57">
        <w:t>intensity</w:t>
      </w:r>
      <w:r w:rsidR="00883178">
        <w:t xml:space="preserve"> </w:t>
      </w:r>
      <w:r w:rsidRPr="00376F57">
        <w:t>and/or</w:t>
      </w:r>
      <w:r w:rsidR="00883178">
        <w:t xml:space="preserve"> </w:t>
      </w:r>
      <w:r w:rsidRPr="00376F57">
        <w:t>duration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weather</w:t>
      </w:r>
      <w:r w:rsidR="00883178">
        <w:t xml:space="preserve"> </w:t>
      </w:r>
      <w:r w:rsidRPr="00376F57">
        <w:t>events,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droughts,</w:t>
      </w:r>
      <w:r w:rsidR="00883178">
        <w:t xml:space="preserve"> </w:t>
      </w:r>
      <w:r w:rsidRPr="00376F57">
        <w:t>wildfires,</w:t>
      </w:r>
      <w:r w:rsidR="00883178">
        <w:t xml:space="preserve"> </w:t>
      </w:r>
      <w:r w:rsidRPr="00376F57">
        <w:t>terrestrial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marine</w:t>
      </w:r>
      <w:r w:rsidR="00883178">
        <w:t xml:space="preserve"> </w:t>
      </w:r>
      <w:r w:rsidRPr="00376F57">
        <w:t>heat</w:t>
      </w:r>
      <w:r w:rsidR="00883178">
        <w:t xml:space="preserve"> </w:t>
      </w:r>
      <w:r w:rsidRPr="00376F57">
        <w:t>waves,</w:t>
      </w:r>
      <w:r w:rsidR="00883178">
        <w:t xml:space="preserve"> </w:t>
      </w:r>
      <w:r w:rsidRPr="00376F57">
        <w:t>cyclones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floods.</w:t>
      </w:r>
      <w:r w:rsidR="00883178">
        <w:t xml:space="preserve"> </w:t>
      </w:r>
      <w:r w:rsidRPr="00376F57">
        <w:t>Extremes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surpassing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resilience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ecological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systems,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challenging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capacities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others,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irreversible</w:t>
      </w:r>
      <w:r w:rsidR="00883178">
        <w:t xml:space="preserve"> </w:t>
      </w:r>
      <w:r w:rsidRPr="00376F57">
        <w:t>consequences.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people,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systems,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climate-sensitive</w:t>
      </w:r>
      <w:r w:rsidR="00883178">
        <w:t xml:space="preserve"> </w:t>
      </w:r>
      <w:r w:rsidRPr="00376F57">
        <w:t>species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ecosystems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most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risk.</w:t>
      </w:r>
      <w:r w:rsidRPr="00376F57">
        <w:rPr>
          <w:rStyle w:val="FootnoteReference"/>
        </w:rPr>
        <w:footnoteReference w:id="9"/>
      </w:r>
    </w:p>
    <w:p w14:paraId="0613509C" w14:textId="44B9B778" w:rsidR="00F36E7C" w:rsidRPr="00376F57" w:rsidRDefault="00F36E7C" w:rsidP="00F36E7C">
      <w:pPr>
        <w:pStyle w:val="ParaNoG"/>
      </w:pP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III</w:t>
      </w:r>
      <w:r w:rsidR="00883178">
        <w:t xml:space="preserve"> </w:t>
      </w:r>
      <w:r w:rsidRPr="00376F57">
        <w:t>pointed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weather</w:t>
      </w:r>
      <w:r w:rsidR="00883178">
        <w:t xml:space="preserve"> </w:t>
      </w:r>
      <w:r w:rsidRPr="00376F57">
        <w:t>events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wildfires,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heat,</w:t>
      </w:r>
      <w:r w:rsidR="00883178">
        <w:t xml:space="preserve"> </w:t>
      </w:r>
      <w:r w:rsidRPr="00376F57">
        <w:t>cyclones,</w:t>
      </w:r>
      <w:r w:rsidR="00883178">
        <w:t xml:space="preserve"> </w:t>
      </w:r>
      <w:r w:rsidRPr="00376F57">
        <w:t>storms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floods</w:t>
      </w:r>
      <w:r w:rsidR="00883178">
        <w:t xml:space="preserve"> </w:t>
      </w:r>
      <w:r w:rsidRPr="00376F57">
        <w:t>had</w:t>
      </w:r>
      <w:r w:rsidR="00883178">
        <w:t xml:space="preserve"> </w:t>
      </w:r>
      <w:r w:rsidRPr="00376F57">
        <w:t>adversely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caused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health,</w:t>
      </w:r>
      <w:r w:rsidR="00883178">
        <w:t xml:space="preserve"> </w:t>
      </w:r>
      <w:r w:rsidRPr="00376F57">
        <w:t>shelter,</w:t>
      </w:r>
      <w:r w:rsidR="00883178">
        <w:t xml:space="preserve"> </w:t>
      </w:r>
      <w:r w:rsidRPr="00376F57">
        <w:t>incomes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livelihoods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security,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had</w:t>
      </w:r>
      <w:r w:rsidR="00883178">
        <w:t xml:space="preserve"> </w:t>
      </w:r>
      <w:r w:rsidRPr="00376F57">
        <w:t>led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displacement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inequality.</w:t>
      </w:r>
      <w:r w:rsidR="00883178">
        <w:t xml:space="preserve"> </w:t>
      </w:r>
      <w:r w:rsidRPr="00376F57">
        <w:t>Over</w:t>
      </w:r>
      <w:r w:rsidR="00883178">
        <w:t xml:space="preserve"> </w:t>
      </w:r>
      <w:r w:rsidRPr="00376F57">
        <w:t>20</w:t>
      </w:r>
      <w:r w:rsidR="00883178">
        <w:t xml:space="preserve"> </w:t>
      </w:r>
      <w:r w:rsidRPr="00376F57">
        <w:t>million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internally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annually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weather-related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events</w:t>
      </w:r>
      <w:r w:rsidR="00883178">
        <w:t xml:space="preserve"> </w:t>
      </w:r>
      <w:r w:rsidRPr="00376F57">
        <w:t>since</w:t>
      </w:r>
      <w:r w:rsidR="00883178">
        <w:t xml:space="preserve"> </w:t>
      </w:r>
      <w:r w:rsidRPr="00376F57">
        <w:t>2008,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storms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floods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most</w:t>
      </w:r>
      <w:r w:rsidR="00883178">
        <w:t xml:space="preserve"> </w:t>
      </w:r>
      <w:r w:rsidRPr="00376F57">
        <w:t>common</w:t>
      </w:r>
      <w:r w:rsidR="00883178">
        <w:t xml:space="preserve"> </w:t>
      </w:r>
      <w:r w:rsidRPr="00376F57">
        <w:t>drivers.</w:t>
      </w:r>
      <w:r w:rsidR="00883178">
        <w:t xml:space="preserve"> </w:t>
      </w:r>
      <w:r w:rsidRPr="00376F57">
        <w:t>Climate-related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events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followed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negative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mental</w:t>
      </w:r>
      <w:r w:rsidR="00883178">
        <w:t xml:space="preserve"> </w:t>
      </w:r>
      <w:r w:rsidRPr="00376F57">
        <w:t>health,</w:t>
      </w:r>
      <w:r w:rsidR="00883178">
        <w:t xml:space="preserve"> </w:t>
      </w:r>
      <w:r w:rsidRPr="00376F57">
        <w:t>well-being,</w:t>
      </w:r>
      <w:r w:rsidR="00883178">
        <w:t xml:space="preserve"> </w:t>
      </w:r>
      <w:r w:rsidRPr="00376F57">
        <w:t>life</w:t>
      </w:r>
      <w:r w:rsidR="00883178">
        <w:t xml:space="preserve"> </w:t>
      </w:r>
      <w:r w:rsidRPr="00376F57">
        <w:t>satisfaction,</w:t>
      </w:r>
      <w:r w:rsidR="00883178">
        <w:t xml:space="preserve"> </w:t>
      </w:r>
      <w:r w:rsidRPr="00376F57">
        <w:t>happiness,</w:t>
      </w:r>
      <w:r w:rsidR="00883178">
        <w:t xml:space="preserve"> </w:t>
      </w:r>
      <w:r w:rsidRPr="00376F57">
        <w:t>cognitive</w:t>
      </w:r>
      <w:r w:rsidR="00883178">
        <w:t xml:space="preserve"> </w:t>
      </w:r>
      <w:r w:rsidRPr="00376F57">
        <w:t>performance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incidence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aggression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exposed</w:t>
      </w:r>
      <w:r w:rsidR="00883178">
        <w:t xml:space="preserve"> </w:t>
      </w:r>
      <w:r w:rsidRPr="00376F57">
        <w:t>populations.</w:t>
      </w:r>
      <w:r w:rsidR="00883178">
        <w:t xml:space="preserve"> </w:t>
      </w:r>
    </w:p>
    <w:p w14:paraId="2E081610" w14:textId="5209E96E" w:rsidR="00F36E7C" w:rsidRPr="00376F57" w:rsidRDefault="00F36E7C" w:rsidP="00F36E7C">
      <w:pPr>
        <w:pStyle w:val="ParaNoG"/>
      </w:pPr>
      <w:r w:rsidRPr="00376F57">
        <w:rPr>
          <w:rFonts w:eastAsia="Calibri"/>
        </w:rPr>
        <w:t>The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Glasgow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Climate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Pact,</w:t>
      </w:r>
      <w:r w:rsidRPr="00376F57">
        <w:rPr>
          <w:rStyle w:val="FootnoteReference"/>
        </w:rPr>
        <w:footnoteReference w:id="10"/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adopted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at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the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twenty-sixth</w:t>
      </w:r>
      <w:r w:rsidR="00883178">
        <w:rPr>
          <w:rFonts w:eastAsia="Calibri"/>
        </w:rPr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Framework</w:t>
      </w:r>
      <w:r w:rsidR="00883178">
        <w:t xml:space="preserve"> </w:t>
      </w:r>
      <w:r w:rsidRPr="00376F57">
        <w:t>Convention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third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serving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meeting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Paris</w:t>
      </w:r>
      <w:r w:rsidR="00883178">
        <w:t xml:space="preserve"> </w:t>
      </w:r>
      <w:r w:rsidRPr="00376F57">
        <w:t>Agreement,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acknowledges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that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climate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change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has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already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caused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will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increasingly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cause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loss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damage.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temperatures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rise,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impacts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from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climate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weather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extremes,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including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storm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events,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will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pose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ever-greater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social,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economic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environmental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threat.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Climate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change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will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lead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to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significant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human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rights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impacts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for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millions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of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people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around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the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globe,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with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increasing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loss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of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life,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land,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homes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and</w:t>
      </w:r>
      <w:r w:rsidR="00883178">
        <w:rPr>
          <w:rFonts w:eastAsia="Calibri"/>
        </w:rPr>
        <w:t xml:space="preserve"> </w:t>
      </w:r>
      <w:r w:rsidRPr="00376F57">
        <w:rPr>
          <w:rFonts w:eastAsia="Calibri"/>
        </w:rPr>
        <w:t>income.</w:t>
      </w:r>
      <w:r w:rsidR="00883178">
        <w:rPr>
          <w:rFonts w:eastAsia="Calibri"/>
        </w:rPr>
        <w:t xml:space="preserve"> </w:t>
      </w:r>
    </w:p>
    <w:p w14:paraId="07432FCB" w14:textId="13DEA692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Glasgow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Pact</w:t>
      </w:r>
      <w:r w:rsidR="00883178">
        <w:t xml:space="preserve"> </w:t>
      </w:r>
      <w:r w:rsidRPr="00376F57">
        <w:t>emphasizes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urgency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scaling</w:t>
      </w:r>
      <w:r w:rsidR="00883178">
        <w:t xml:space="preserve"> </w:t>
      </w:r>
      <w:r w:rsidRPr="00376F57">
        <w:t>up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support,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finance,</w:t>
      </w:r>
      <w:r w:rsidR="00883178">
        <w:t xml:space="preserve"> </w:t>
      </w:r>
      <w:r w:rsidRPr="00376F57">
        <w:t>capacity-building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technology</w:t>
      </w:r>
      <w:r w:rsidR="00883178">
        <w:t xml:space="preserve"> </w:t>
      </w:r>
      <w:r w:rsidRPr="00376F57">
        <w:t>transfer,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enhance</w:t>
      </w:r>
      <w:r w:rsidR="00883178">
        <w:t xml:space="preserve"> </w:t>
      </w:r>
      <w:r w:rsidRPr="00376F57">
        <w:t>adaptive</w:t>
      </w:r>
      <w:r w:rsidR="00883178">
        <w:t xml:space="preserve"> </w:t>
      </w:r>
      <w:r w:rsidRPr="00376F57">
        <w:t>capacity,</w:t>
      </w:r>
      <w:r w:rsidR="00883178">
        <w:t xml:space="preserve"> </w:t>
      </w:r>
      <w:r w:rsidRPr="00376F57">
        <w:t>strengthen</w:t>
      </w:r>
      <w:r w:rsidR="00883178">
        <w:t xml:space="preserve"> </w:t>
      </w:r>
      <w:r w:rsidRPr="00376F57">
        <w:t>resilience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reduce</w:t>
      </w:r>
      <w:r w:rsidR="00883178">
        <w:t xml:space="preserve"> </w:t>
      </w:r>
      <w:r w:rsidRPr="00376F57">
        <w:t>vulnerability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line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best</w:t>
      </w:r>
      <w:r w:rsidR="00883178">
        <w:t xml:space="preserve"> </w:t>
      </w:r>
      <w:r w:rsidRPr="00376F57">
        <w:t>available</w:t>
      </w:r>
      <w:r w:rsidR="00883178">
        <w:t xml:space="preserve"> </w:t>
      </w:r>
      <w:r w:rsidRPr="00376F57">
        <w:t>science,</w:t>
      </w:r>
      <w:r w:rsidR="00883178">
        <w:t xml:space="preserve"> </w:t>
      </w:r>
      <w:r w:rsidRPr="00376F57">
        <w:t>taking</w:t>
      </w:r>
      <w:r w:rsidR="00883178">
        <w:t xml:space="preserve"> </w:t>
      </w:r>
      <w:r w:rsidRPr="00376F57">
        <w:t>into</w:t>
      </w:r>
      <w:r w:rsidR="00883178">
        <w:t xml:space="preserve"> </w:t>
      </w:r>
      <w:r w:rsidRPr="00376F57">
        <w:t>account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priorities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needs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parties.</w:t>
      </w:r>
      <w:r w:rsidR="00883178">
        <w:t xml:space="preserve"> </w:t>
      </w:r>
    </w:p>
    <w:p w14:paraId="378D3944" w14:textId="75F5391A" w:rsidR="00F36E7C" w:rsidRPr="00376F57" w:rsidRDefault="00F36E7C" w:rsidP="00F36E7C">
      <w:pPr>
        <w:pStyle w:val="ParaNoG"/>
      </w:pPr>
      <w:r w:rsidRPr="00376F57">
        <w:t>At</w:t>
      </w:r>
      <w:r w:rsidR="00883178">
        <w:t xml:space="preserve"> </w:t>
      </w:r>
      <w:r w:rsidRPr="00376F57">
        <w:rPr>
          <w:rFonts w:eastAsia="Calibri"/>
          <w:color w:val="000000" w:themeColor="text1"/>
        </w:rPr>
        <w:t>the</w:t>
      </w:r>
      <w:r w:rsidR="00883178">
        <w:rPr>
          <w:rFonts w:eastAsia="Calibri"/>
          <w:color w:val="000000" w:themeColor="text1"/>
        </w:rPr>
        <w:t xml:space="preserve"> </w:t>
      </w:r>
      <w:r w:rsidRPr="00376F57">
        <w:rPr>
          <w:rFonts w:eastAsia="Calibri"/>
          <w:color w:val="000000" w:themeColor="text1"/>
        </w:rPr>
        <w:t>twenty-sixth</w:t>
      </w:r>
      <w:r w:rsidR="00883178">
        <w:rPr>
          <w:rFonts w:eastAsia="Calibri"/>
          <w:color w:val="000000" w:themeColor="text1"/>
        </w:rPr>
        <w:t xml:space="preserve"> </w:t>
      </w:r>
      <w:r w:rsidRPr="00376F57">
        <w:rPr>
          <w:color w:val="000000" w:themeColor="text1"/>
        </w:rPr>
        <w:t>Conference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Parties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Convention</w:t>
      </w:r>
      <w:r w:rsidRPr="00376F57">
        <w:t>,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proposal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financing</w:t>
      </w:r>
      <w:r w:rsidR="00883178">
        <w:t xml:space="preserve"> </w:t>
      </w:r>
      <w:r w:rsidRPr="00376F57">
        <w:t>facility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rejected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number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States.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established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Glasgow</w:t>
      </w:r>
      <w:r w:rsidR="00883178">
        <w:t xml:space="preserve"> </w:t>
      </w:r>
      <w:r w:rsidRPr="00376F57">
        <w:t>Dialogue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discuss</w:t>
      </w:r>
      <w:r w:rsidR="00883178">
        <w:t xml:space="preserve"> </w:t>
      </w:r>
      <w:r w:rsidRPr="00376F57">
        <w:t>possible</w:t>
      </w:r>
      <w:r w:rsidR="00883178">
        <w:t xml:space="preserve"> </w:t>
      </w:r>
      <w:r w:rsidRPr="00376F57">
        <w:t>arrangements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funding,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meeting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held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June</w:t>
      </w:r>
      <w:r w:rsidR="00883178">
        <w:t xml:space="preserve"> </w:t>
      </w:r>
      <w:r w:rsidRPr="00376F57">
        <w:t>2022.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twenty-seventh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Parties,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another</w:t>
      </w:r>
      <w:r w:rsidR="00883178">
        <w:t xml:space="preserve"> </w:t>
      </w:r>
      <w:r w:rsidRPr="00376F57">
        <w:t>chance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finally</w:t>
      </w:r>
      <w:r w:rsidR="00883178">
        <w:t xml:space="preserve"> </w:t>
      </w:r>
      <w:r w:rsidRPr="00376F57">
        <w:t>establish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mechanism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critical</w:t>
      </w:r>
      <w:r w:rsidR="00883178">
        <w:t xml:space="preserve"> </w:t>
      </w:r>
      <w:r w:rsidRPr="00376F57">
        <w:t>need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process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secure</w:t>
      </w:r>
      <w:r w:rsidR="00883178">
        <w:t xml:space="preserve"> </w:t>
      </w:r>
      <w:r w:rsidRPr="00376F57">
        <w:t>adequate,</w:t>
      </w:r>
      <w:r w:rsidR="00883178">
        <w:t xml:space="preserve"> </w:t>
      </w:r>
      <w:r w:rsidRPr="00376F57">
        <w:t>accessible,</w:t>
      </w:r>
      <w:r w:rsidR="00883178">
        <w:t xml:space="preserve"> </w:t>
      </w:r>
      <w:r w:rsidRPr="00376F57">
        <w:t>additional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fit-for-purpose</w:t>
      </w:r>
      <w:r w:rsidR="00883178">
        <w:t xml:space="preserve"> </w:t>
      </w:r>
      <w:r w:rsidRPr="00376F57">
        <w:t>financing.</w:t>
      </w:r>
      <w:r w:rsidR="00883178">
        <w:t xml:space="preserve"> </w:t>
      </w:r>
    </w:p>
    <w:p w14:paraId="3FDABA39" w14:textId="7C7431C7" w:rsidR="00F36E7C" w:rsidRPr="00376F57" w:rsidRDefault="00074337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4526F25A" w14:textId="4DF9BE21" w:rsidR="00F36E7C" w:rsidRPr="00376F57" w:rsidRDefault="00F36E7C" w:rsidP="00F36E7C">
      <w:pPr>
        <w:pStyle w:val="ParaNoG"/>
        <w:rPr>
          <w:bCs/>
        </w:rPr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will:</w:t>
      </w:r>
    </w:p>
    <w:p w14:paraId="022C31C7" w14:textId="42156302" w:rsidR="00F36E7C" w:rsidRPr="00376F57" w:rsidRDefault="00F36E7C" w:rsidP="00074337">
      <w:pPr>
        <w:pStyle w:val="SingleTxtG"/>
      </w:pPr>
      <w:r w:rsidRPr="00376F57">
        <w:tab/>
        <w:t>(a)</w:t>
      </w:r>
      <w:r w:rsidRPr="00376F57">
        <w:tab/>
        <w:t>Explore</w:t>
      </w:r>
      <w:r w:rsidR="00883178">
        <w:t xml:space="preserve"> </w:t>
      </w:r>
      <w:r w:rsidRPr="00376F57">
        <w:t>financing</w:t>
      </w:r>
      <w:r w:rsidR="00883178">
        <w:t xml:space="preserve"> </w:t>
      </w:r>
      <w:r w:rsidRPr="00376F57">
        <w:t>options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dramatically</w:t>
      </w:r>
      <w:r w:rsidR="00883178">
        <w:t xml:space="preserve"> </w:t>
      </w:r>
      <w:r w:rsidRPr="00376F57">
        <w:t>scale</w:t>
      </w:r>
      <w:r w:rsidR="00883178">
        <w:t xml:space="preserve"> </w:t>
      </w:r>
      <w:r w:rsidRPr="00376F57">
        <w:t>up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support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find</w:t>
      </w:r>
      <w:r w:rsidR="00883178">
        <w:t xml:space="preserve"> </w:t>
      </w:r>
      <w:r w:rsidRPr="00376F57">
        <w:t>redress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compensation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adversely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rPr>
          <w:color w:val="1A1919"/>
        </w:rPr>
        <w:t>consult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States,</w:t>
      </w:r>
      <w:r w:rsidR="00883178">
        <w:t xml:space="preserve"> </w:t>
      </w:r>
      <w:r w:rsidRPr="00376F57">
        <w:t>civil</w:t>
      </w:r>
      <w:r w:rsidR="00883178">
        <w:t xml:space="preserve"> </w:t>
      </w:r>
      <w:r w:rsidRPr="00376F57">
        <w:t>society</w:t>
      </w:r>
      <w:r w:rsidR="00883178">
        <w:t xml:space="preserve"> </w:t>
      </w:r>
      <w:r w:rsidRPr="00376F57">
        <w:t>organizations,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intergovernmental</w:t>
      </w:r>
      <w:r w:rsidR="00883178">
        <w:t xml:space="preserve"> </w:t>
      </w:r>
      <w:r w:rsidRPr="00376F57">
        <w:t>organizations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find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best</w:t>
      </w:r>
      <w:r w:rsidR="00883178">
        <w:t xml:space="preserve"> </w:t>
      </w:r>
      <w:r w:rsidRPr="00376F57">
        <w:t>options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enhance</w:t>
      </w:r>
      <w:r w:rsidR="00883178">
        <w:t xml:space="preserve"> </w:t>
      </w:r>
      <w:r w:rsidRPr="00376F57">
        <w:t>funding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damage;</w:t>
      </w:r>
    </w:p>
    <w:p w14:paraId="747E52EA" w14:textId="701DEF9E" w:rsidR="00F36E7C" w:rsidRPr="00376F57" w:rsidRDefault="00F36E7C" w:rsidP="00B9065D">
      <w:pPr>
        <w:pStyle w:val="SingleTxtG"/>
      </w:pPr>
      <w:r w:rsidRPr="00376F57">
        <w:lastRenderedPageBreak/>
        <w:tab/>
        <w:t>(b)</w:t>
      </w:r>
      <w:r w:rsidRPr="00376F57">
        <w:tab/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(e)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raise</w:t>
      </w:r>
      <w:r w:rsidR="00883178">
        <w:t xml:space="preserve"> </w:t>
      </w:r>
      <w:r w:rsidRPr="00376F57">
        <w:t>awareness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especially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living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particularly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least</w:t>
      </w:r>
      <w:r w:rsidR="00883178">
        <w:t xml:space="preserve"> </w:t>
      </w:r>
      <w:r w:rsidRPr="00376F57">
        <w:t>developed</w:t>
      </w:r>
      <w:r w:rsidR="00883178">
        <w:t xml:space="preserve"> </w:t>
      </w:r>
      <w:r w:rsidRPr="00376F57">
        <w:t>countries,</w:t>
      </w:r>
      <w:r w:rsidR="00883178">
        <w:t xml:space="preserve"> </w:t>
      </w:r>
      <w:r w:rsidRPr="00376F57">
        <w:t>small</w:t>
      </w:r>
      <w:r w:rsidR="00883178">
        <w:t xml:space="preserve"> </w:t>
      </w:r>
      <w:r w:rsidRPr="00376F57">
        <w:t>island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landlocked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States,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encourage</w:t>
      </w:r>
      <w:r w:rsidR="00883178">
        <w:t xml:space="preserve"> </w:t>
      </w:r>
      <w:r w:rsidRPr="00376F57">
        <w:t>increased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cooperation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regard;</w:t>
      </w:r>
    </w:p>
    <w:p w14:paraId="2D3FE0FC" w14:textId="199EC868" w:rsidR="00F36E7C" w:rsidRPr="00376F57" w:rsidRDefault="00F36E7C" w:rsidP="00B9065D">
      <w:pPr>
        <w:pStyle w:val="SingleTxtG"/>
      </w:pPr>
      <w:r w:rsidRPr="00376F57">
        <w:tab/>
        <w:t>(c)</w:t>
      </w:r>
      <w:r w:rsidRPr="00376F57">
        <w:tab/>
        <w:t>Follow</w:t>
      </w:r>
      <w:r w:rsidR="00883178">
        <w:t xml:space="preserve"> </w:t>
      </w:r>
      <w:r w:rsidRPr="00376F57">
        <w:t>up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efforts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reach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highly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least</w:t>
      </w:r>
      <w:r w:rsidR="00883178">
        <w:t xml:space="preserve"> </w:t>
      </w:r>
      <w:r w:rsidRPr="00376F57">
        <w:t>developed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request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rPr>
          <w:color w:val="1A1919"/>
        </w:rPr>
        <w:t>country</w:t>
      </w:r>
      <w:r w:rsidR="00883178">
        <w:t xml:space="preserve"> </w:t>
      </w:r>
      <w:r w:rsidRPr="00376F57">
        <w:t>visit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understanding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suffered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explore</w:t>
      </w:r>
      <w:r w:rsidR="00883178">
        <w:t xml:space="preserve"> </w:t>
      </w:r>
      <w:r w:rsidRPr="00376F57">
        <w:t>good</w:t>
      </w:r>
      <w:r w:rsidR="00883178">
        <w:t xml:space="preserve"> </w:t>
      </w:r>
      <w:r w:rsidRPr="00376F57">
        <w:t>practices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can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averted;</w:t>
      </w:r>
    </w:p>
    <w:p w14:paraId="06A6E56A" w14:textId="69794966" w:rsidR="00F36E7C" w:rsidRPr="00376F57" w:rsidRDefault="00F36E7C" w:rsidP="00B9065D">
      <w:pPr>
        <w:pStyle w:val="SingleTxtG"/>
      </w:pPr>
      <w:r w:rsidRPr="00376F57">
        <w:tab/>
        <w:t>(d)</w:t>
      </w:r>
      <w:r w:rsidRPr="00376F57">
        <w:tab/>
        <w:t>Explore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aspects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experienced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individuals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situations,</w:t>
      </w:r>
      <w:r w:rsidR="00883178">
        <w:t xml:space="preserve"> </w:t>
      </w:r>
      <w:r w:rsidRPr="00376F57">
        <w:t>namely</w:t>
      </w:r>
      <w:r w:rsidR="00883178">
        <w:t xml:space="preserve"> </w:t>
      </w:r>
      <w:r w:rsidRPr="00376F57">
        <w:t>women,</w:t>
      </w:r>
      <w:r w:rsidR="00883178">
        <w:t xml:space="preserve"> </w:t>
      </w:r>
      <w:r w:rsidRPr="00376F57">
        <w:t>children,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disabilities,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peoples,</w:t>
      </w:r>
      <w:r w:rsidR="00883178">
        <w:t xml:space="preserve"> </w:t>
      </w:r>
      <w:r w:rsidRPr="00376F57">
        <w:t>local</w:t>
      </w:r>
      <w:r w:rsidR="00883178">
        <w:t xml:space="preserve"> </w:t>
      </w:r>
      <w:r w:rsidRPr="00376F57">
        <w:t>communities,</w:t>
      </w:r>
      <w:r w:rsidR="00883178">
        <w:t xml:space="preserve"> </w:t>
      </w:r>
      <w:r w:rsidRPr="00376F57">
        <w:t>peasants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rPr>
          <w:color w:val="1A1919"/>
        </w:rPr>
        <w:t>working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rural</w:t>
      </w:r>
      <w:r w:rsidR="00883178">
        <w:t xml:space="preserve"> </w:t>
      </w:r>
      <w:r w:rsidRPr="00376F57">
        <w:t>areas,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living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conditions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scarcity,</w:t>
      </w:r>
      <w:r w:rsidR="00883178">
        <w:t xml:space="preserve"> </w:t>
      </w:r>
      <w:r w:rsidRPr="00376F57">
        <w:t>drought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desertification,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belonging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minority</w:t>
      </w:r>
      <w:r w:rsidR="00883178">
        <w:t xml:space="preserve"> </w:t>
      </w:r>
      <w:r w:rsidRPr="00376F57">
        <w:t>groups,</w:t>
      </w:r>
      <w:r w:rsidR="00883178">
        <w:t xml:space="preserve"> </w:t>
      </w:r>
      <w:r w:rsidRPr="00376F57">
        <w:t>homeless</w:t>
      </w:r>
      <w:r w:rsidR="00883178">
        <w:t xml:space="preserve"> </w:t>
      </w:r>
      <w:r w:rsidRPr="00376F57">
        <w:t>persons,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living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poverty,</w:t>
      </w:r>
      <w:r w:rsidR="00883178">
        <w:t xml:space="preserve"> </w:t>
      </w:r>
      <w:r w:rsidRPr="00376F57">
        <w:t>older</w:t>
      </w:r>
      <w:r w:rsidR="00883178">
        <w:t xml:space="preserve"> </w:t>
      </w:r>
      <w:r w:rsidRPr="00376F57">
        <w:t>persons,</w:t>
      </w:r>
      <w:r w:rsidR="00883178">
        <w:t xml:space="preserve"> </w:t>
      </w:r>
      <w:r w:rsidRPr="00376F57">
        <w:t>migrants,</w:t>
      </w:r>
      <w:r w:rsidR="00883178">
        <w:t xml:space="preserve"> </w:t>
      </w:r>
      <w:r w:rsidRPr="00376F57">
        <w:t>refugees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internally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persons,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living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conflict</w:t>
      </w:r>
      <w:r w:rsidR="00883178">
        <w:t xml:space="preserve"> </w:t>
      </w:r>
      <w:r w:rsidRPr="00376F57">
        <w:t>areas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importance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recognizing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agency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contributing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action;</w:t>
      </w:r>
    </w:p>
    <w:p w14:paraId="4BBBBA05" w14:textId="25EDBCD6" w:rsidR="00F36E7C" w:rsidRPr="00376F57" w:rsidRDefault="00F36E7C" w:rsidP="00B9065D">
      <w:pPr>
        <w:pStyle w:val="SingleTxtG"/>
      </w:pPr>
      <w:r w:rsidRPr="00376F57">
        <w:tab/>
        <w:t>(e)</w:t>
      </w:r>
      <w:r w:rsidRPr="00376F57">
        <w:tab/>
        <w:t>Focus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inform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seeking</w:t>
      </w:r>
      <w:r w:rsidR="00883178">
        <w:t xml:space="preserve"> </w:t>
      </w:r>
      <w:r w:rsidRPr="00376F57">
        <w:t>input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States,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enterprises,</w:t>
      </w:r>
      <w:r w:rsidR="00883178">
        <w:t xml:space="preserve"> </w:t>
      </w:r>
      <w:r w:rsidRPr="00376F57">
        <w:t>civil</w:t>
      </w:r>
      <w:r w:rsidR="00883178">
        <w:t xml:space="preserve"> </w:t>
      </w:r>
      <w:r w:rsidRPr="00376F57">
        <w:t>society</w:t>
      </w:r>
      <w:r w:rsidR="00883178">
        <w:t xml:space="preserve"> </w:t>
      </w:r>
      <w:r w:rsidRPr="00376F57">
        <w:rPr>
          <w:color w:val="1A1919"/>
        </w:rPr>
        <w:t>organizations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intergovernmental</w:t>
      </w:r>
      <w:r w:rsidR="00883178">
        <w:t xml:space="preserve"> </w:t>
      </w:r>
      <w:r w:rsidRPr="00376F57">
        <w:t>organizations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identify</w:t>
      </w:r>
      <w:r w:rsidR="00883178">
        <w:t xml:space="preserve"> </w:t>
      </w:r>
      <w:r w:rsidRPr="00376F57">
        <w:t>what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necessary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support,</w:t>
      </w:r>
      <w:r w:rsidR="00883178">
        <w:t xml:space="preserve"> </w:t>
      </w:r>
      <w:r w:rsidRPr="00376F57">
        <w:t>remedies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redress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individuals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suffering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damage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consequence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prepare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compilation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inputs</w:t>
      </w:r>
      <w:r w:rsidR="00883178">
        <w:t xml:space="preserve"> </w:t>
      </w:r>
      <w:r w:rsidRPr="00376F57">
        <w:t>received;</w:t>
      </w:r>
      <w:r w:rsidRPr="00376F57">
        <w:rPr>
          <w:rStyle w:val="FootnoteReference"/>
        </w:rPr>
        <w:footnoteReference w:id="11"/>
      </w:r>
    </w:p>
    <w:p w14:paraId="7BDC3997" w14:textId="1DCD921B" w:rsidR="00F36E7C" w:rsidRPr="00376F57" w:rsidRDefault="00F36E7C" w:rsidP="00B9065D">
      <w:pPr>
        <w:pStyle w:val="SingleTxtG"/>
      </w:pPr>
      <w:r w:rsidRPr="00376F57">
        <w:tab/>
        <w:t>(f)</w:t>
      </w:r>
      <w:r w:rsidRPr="00376F57">
        <w:tab/>
        <w:t>Identify</w:t>
      </w:r>
      <w:r w:rsidR="00883178">
        <w:t xml:space="preserve"> </w:t>
      </w:r>
      <w:r w:rsidRPr="00376F57">
        <w:t>practical</w:t>
      </w:r>
      <w:r w:rsidR="00883178">
        <w:t xml:space="preserve"> </w:t>
      </w:r>
      <w:r w:rsidRPr="00376F57">
        <w:t>guidelines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implementing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mitigation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policies,</w:t>
      </w:r>
      <w:r w:rsidR="00883178">
        <w:t xml:space="preserve"> </w:t>
      </w:r>
      <w:r w:rsidRPr="00376F57">
        <w:rPr>
          <w:color w:val="1A1919"/>
        </w:rPr>
        <w:t>practices</w:t>
      </w:r>
      <w:r w:rsidRPr="00376F57">
        <w:t>,</w:t>
      </w:r>
      <w:r w:rsidR="00883178">
        <w:t xml:space="preserve"> </w:t>
      </w:r>
      <w:r w:rsidRPr="00376F57">
        <w:t>investments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projects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4A9A45A6" w14:textId="5B00215C" w:rsidR="00F36E7C" w:rsidRPr="00376F57" w:rsidRDefault="00F36E7C" w:rsidP="00FE159F">
      <w:pPr>
        <w:pStyle w:val="H23G"/>
        <w:outlineLvl w:val="2"/>
      </w:pPr>
      <w:bookmarkStart w:id="8" w:name="_Toc104788987"/>
      <w:r w:rsidRPr="00376F57">
        <w:tab/>
        <w:t>4.</w:t>
      </w:r>
      <w:r w:rsidRPr="00376F57">
        <w:tab/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finance</w:t>
      </w:r>
      <w:bookmarkEnd w:id="8"/>
    </w:p>
    <w:p w14:paraId="1B6ECB72" w14:textId="40DB8195" w:rsidR="00F36E7C" w:rsidRPr="00376F57" w:rsidRDefault="00F36E7C" w:rsidP="00F36E7C">
      <w:pPr>
        <w:pStyle w:val="ParaNoG"/>
      </w:pPr>
      <w:r w:rsidRPr="00376F57">
        <w:t>It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well</w:t>
      </w:r>
      <w:r w:rsidR="00883178">
        <w:t xml:space="preserve"> </w:t>
      </w:r>
      <w:r w:rsidRPr="00376F57">
        <w:t>recognized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drastically</w:t>
      </w:r>
      <w:r w:rsidR="00883178">
        <w:t xml:space="preserve"> </w:t>
      </w:r>
      <w:r w:rsidRPr="00376F57">
        <w:t>underfunded.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rPr>
          <w:rFonts w:eastAsia="Calibri"/>
          <w:color w:val="000000" w:themeColor="text1"/>
        </w:rPr>
        <w:t>twenty-sixth</w:t>
      </w:r>
      <w:r w:rsidR="00883178">
        <w:rPr>
          <w:rFonts w:eastAsia="Calibri"/>
          <w:color w:val="000000" w:themeColor="text1"/>
        </w:rPr>
        <w:t xml:space="preserve"> </w:t>
      </w:r>
      <w:r w:rsidRPr="00376F57">
        <w:rPr>
          <w:color w:val="000000" w:themeColor="text1"/>
        </w:rPr>
        <w:t>Conference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Parties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Convention</w:t>
      </w:r>
      <w:r w:rsidRPr="00376F57">
        <w:t>,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current</w:t>
      </w:r>
      <w:r w:rsidR="00883178">
        <w:t xml:space="preserve"> </w:t>
      </w:r>
      <w:r w:rsidRPr="00376F57">
        <w:t>provision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finance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remains</w:t>
      </w:r>
      <w:r w:rsidR="00883178">
        <w:t xml:space="preserve"> </w:t>
      </w:r>
      <w:r w:rsidRPr="00376F57">
        <w:t>insufficient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respond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worsening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parties.</w:t>
      </w:r>
    </w:p>
    <w:p w14:paraId="047F9B9A" w14:textId="20B0ABD6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urged</w:t>
      </w:r>
      <w:r w:rsidR="00883178">
        <w:t xml:space="preserve"> </w:t>
      </w:r>
      <w:r w:rsidRPr="00376F57">
        <w:t>developed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urgently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significantly</w:t>
      </w:r>
      <w:r w:rsidR="00883178">
        <w:t xml:space="preserve"> </w:t>
      </w:r>
      <w:r w:rsidRPr="00376F57">
        <w:t>scale</w:t>
      </w:r>
      <w:r w:rsidR="00883178">
        <w:t xml:space="preserve"> </w:t>
      </w:r>
      <w:r w:rsidRPr="00376F57">
        <w:t>up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provision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finance,</w:t>
      </w:r>
      <w:r w:rsidR="00883178">
        <w:t xml:space="preserve"> </w:t>
      </w:r>
      <w:r w:rsidRPr="00376F57">
        <w:t>technology</w:t>
      </w:r>
      <w:r w:rsidR="00883178">
        <w:t xml:space="preserve"> </w:t>
      </w:r>
      <w:r w:rsidRPr="00376F57">
        <w:t>transfer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capacity-building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so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respond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needs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part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effort,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formulation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implementation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national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plans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communications.</w:t>
      </w:r>
      <w:r w:rsidRPr="00376F57">
        <w:rPr>
          <w:rStyle w:val="FootnoteReference"/>
        </w:rPr>
        <w:footnoteReference w:id="12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initiated</w:t>
      </w:r>
      <w:r w:rsidR="00883178">
        <w:t xml:space="preserve"> </w:t>
      </w:r>
      <w:r w:rsidRPr="00376F57">
        <w:t>deliberations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collective</w:t>
      </w:r>
      <w:r w:rsidR="00883178">
        <w:t xml:space="preserve"> </w:t>
      </w:r>
      <w:r w:rsidRPr="00376F57">
        <w:t>quantified</w:t>
      </w:r>
      <w:r w:rsidR="00883178">
        <w:t xml:space="preserve"> </w:t>
      </w:r>
      <w:r w:rsidRPr="00376F57">
        <w:t>goal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finance.</w:t>
      </w:r>
      <w:r w:rsidR="00883178">
        <w:t xml:space="preserve"> </w:t>
      </w:r>
    </w:p>
    <w:p w14:paraId="2E81057D" w14:textId="360D2BB4" w:rsidR="00F36E7C" w:rsidRPr="00376F57" w:rsidRDefault="00B9065D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26BC5C23" w14:textId="2019410A" w:rsidR="00F36E7C" w:rsidRPr="00376F57" w:rsidRDefault="00F36E7C" w:rsidP="00B9065D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t>engage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consultations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collective</w:t>
      </w:r>
      <w:r w:rsidR="00883178">
        <w:t xml:space="preserve"> </w:t>
      </w:r>
      <w:r w:rsidRPr="00376F57">
        <w:t>quantified</w:t>
      </w:r>
      <w:r w:rsidR="00883178">
        <w:t xml:space="preserve"> </w:t>
      </w:r>
      <w:r w:rsidRPr="00376F57">
        <w:t>goal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finance</w:t>
      </w:r>
      <w:r w:rsidR="00883178">
        <w:t xml:space="preserve"> </w:t>
      </w:r>
      <w:r w:rsidRPr="00376F57">
        <w:t>initiated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perspective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incorporated</w:t>
      </w:r>
      <w:r w:rsidR="00883178">
        <w:t xml:space="preserve"> </w:t>
      </w:r>
      <w:r w:rsidRPr="00376F57">
        <w:t>within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considerations.</w:t>
      </w:r>
    </w:p>
    <w:p w14:paraId="23276862" w14:textId="2DF648F5" w:rsidR="00F36E7C" w:rsidRPr="00376F57" w:rsidRDefault="00F36E7C" w:rsidP="00FE159F">
      <w:pPr>
        <w:pStyle w:val="H1G"/>
        <w:outlineLvl w:val="1"/>
      </w:pPr>
      <w:r w:rsidRPr="00376F57">
        <w:tab/>
      </w:r>
      <w:bookmarkStart w:id="9" w:name="_Toc104788988"/>
      <w:r w:rsidRPr="00376F57">
        <w:t>B.</w:t>
      </w:r>
      <w:r w:rsidRPr="00376F57">
        <w:tab/>
        <w:t>Ways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implications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displacement,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legal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across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borders</w:t>
      </w:r>
      <w:bookmarkEnd w:id="9"/>
      <w:r w:rsidR="00883178">
        <w:t xml:space="preserve"> </w:t>
      </w:r>
    </w:p>
    <w:p w14:paraId="39DC3DE3" w14:textId="38A4D32E" w:rsidR="00F36E7C" w:rsidRPr="00376F57" w:rsidRDefault="00F36E7C" w:rsidP="00F36E7C">
      <w:pPr>
        <w:pStyle w:val="ParaNoG"/>
        <w:rPr>
          <w:caps/>
        </w:rPr>
      </w:pPr>
      <w:r w:rsidRPr="00376F57">
        <w:t>The</w:t>
      </w:r>
      <w:r w:rsidR="00883178">
        <w:t xml:space="preserve"> </w:t>
      </w:r>
      <w:r w:rsidRPr="00376F57">
        <w:t>Office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High</w:t>
      </w:r>
      <w:r w:rsidR="00883178">
        <w:t xml:space="preserve"> </w:t>
      </w:r>
      <w:r w:rsidRPr="00376F57">
        <w:t>Commissioner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Refugees</w:t>
      </w:r>
      <w:r w:rsidR="00883178">
        <w:t xml:space="preserve"> </w:t>
      </w:r>
      <w:r w:rsidRPr="00376F57">
        <w:t>(UNHCR)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estimated</w:t>
      </w:r>
      <w:r w:rsidR="00883178">
        <w:t xml:space="preserve"> </w:t>
      </w:r>
      <w:r w:rsidRPr="00376F57">
        <w:t>that,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mid-2021,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forced</w:t>
      </w:r>
      <w:r w:rsidR="00883178">
        <w:t xml:space="preserve"> </w:t>
      </w:r>
      <w:r w:rsidRPr="00376F57">
        <w:t>displacement</w:t>
      </w:r>
      <w:r w:rsidR="00883178">
        <w:t xml:space="preserve"> </w:t>
      </w:r>
      <w:r w:rsidRPr="00376F57">
        <w:t>had</w:t>
      </w:r>
      <w:r w:rsidR="00883178">
        <w:t xml:space="preserve"> </w:t>
      </w:r>
      <w:r w:rsidRPr="00376F57">
        <w:t>surpassed</w:t>
      </w:r>
      <w:r w:rsidR="00883178">
        <w:t xml:space="preserve"> </w:t>
      </w:r>
      <w:r w:rsidRPr="00376F57">
        <w:t>84</w:t>
      </w:r>
      <w:r w:rsidR="00883178">
        <w:t xml:space="preserve"> </w:t>
      </w:r>
      <w:r w:rsidRPr="00376F57">
        <w:t>million</w:t>
      </w:r>
      <w:r w:rsidR="00883178">
        <w:t xml:space="preserve"> </w:t>
      </w:r>
      <w:r w:rsidRPr="00376F57">
        <w:t>people.</w:t>
      </w:r>
      <w:r w:rsidRPr="00376F57">
        <w:rPr>
          <w:rStyle w:val="FootnoteReference"/>
        </w:rPr>
        <w:footnoteReference w:id="13"/>
      </w:r>
      <w:r w:rsidR="00883178">
        <w:t xml:space="preserve"> </w:t>
      </w:r>
      <w:r w:rsidRPr="00376F57">
        <w:lastRenderedPageBreak/>
        <w:t>As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end</w:t>
      </w:r>
      <w:r w:rsidR="00883178">
        <w:t xml:space="preserve"> </w:t>
      </w:r>
      <w:r w:rsidRPr="00376F57">
        <w:t>2020,</w:t>
      </w:r>
      <w:r w:rsidR="00883178">
        <w:t xml:space="preserve"> </w:t>
      </w:r>
      <w:r w:rsidRPr="00376F57">
        <w:t>49</w:t>
      </w:r>
      <w:r w:rsidR="00883178">
        <w:t xml:space="preserve"> </w:t>
      </w:r>
      <w:r w:rsidRPr="00376F57">
        <w:t>million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internally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rPr>
          <w:shd w:val="clear" w:color="auto" w:fill="FFFFFF"/>
        </w:rPr>
        <w:t>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estimated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35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million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(42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cent)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82.4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million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forcibly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displaced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people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were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children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below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18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years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age.</w:t>
      </w:r>
      <w:r w:rsidR="00883178">
        <w:rPr>
          <w:shd w:val="clear" w:color="auto" w:fill="FFFFFF"/>
        </w:rPr>
        <w:t xml:space="preserve"> </w:t>
      </w:r>
    </w:p>
    <w:p w14:paraId="513EEF7A" w14:textId="74F9F632" w:rsidR="00F36E7C" w:rsidRPr="00376F57" w:rsidRDefault="00F36E7C" w:rsidP="00F36E7C">
      <w:pPr>
        <w:pStyle w:val="ParaNoG"/>
      </w:pPr>
      <w:r w:rsidRPr="00376F57">
        <w:rPr>
          <w:shd w:val="clear" w:color="auto" w:fill="FFFFFF"/>
        </w:rPr>
        <w:t>According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data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provided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Internal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Displacement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Monitoring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Centre,</w:t>
      </w:r>
      <w:r w:rsidRPr="00376F57">
        <w:rPr>
          <w:rStyle w:val="FootnoteReference"/>
        </w:rPr>
        <w:footnoteReference w:id="14"/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nearly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1,900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disasters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triggered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24.9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million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new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displacements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across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140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countries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territories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2019.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highest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figure</w:t>
      </w:r>
      <w:r w:rsidR="00883178">
        <w:rPr>
          <w:shd w:val="clear" w:color="auto" w:fill="FFFFFF"/>
        </w:rPr>
        <w:t xml:space="preserve"> </w:t>
      </w:r>
      <w:r w:rsidRPr="00376F57">
        <w:t>recorded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since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2012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three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times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number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displacements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caused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conflict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violence.</w:t>
      </w:r>
    </w:p>
    <w:p w14:paraId="7675F621" w14:textId="0E18D2AF" w:rsidR="00F36E7C" w:rsidRPr="00376F57" w:rsidRDefault="00F36E7C" w:rsidP="00F36E7C">
      <w:pPr>
        <w:pStyle w:val="ParaNoG"/>
      </w:pPr>
      <w:r w:rsidRPr="00376F57">
        <w:t>Displaced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often</w:t>
      </w:r>
      <w:r w:rsidR="00883178">
        <w:t xml:space="preserve"> </w:t>
      </w:r>
      <w:r w:rsidRPr="00376F57">
        <w:t>portrayed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victims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slow-onset</w:t>
      </w:r>
      <w:r w:rsidR="00883178">
        <w:t xml:space="preserve"> </w:t>
      </w:r>
      <w:r w:rsidRPr="00376F57">
        <w:t>events</w:t>
      </w:r>
      <w:r w:rsidR="00883178">
        <w:t xml:space="preserve"> </w:t>
      </w:r>
      <w:r w:rsidRPr="00376F57">
        <w:t>who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need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assistance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protection,</w:t>
      </w:r>
      <w:r w:rsidR="00883178">
        <w:t xml:space="preserve"> </w:t>
      </w:r>
      <w:r w:rsidRPr="00376F57">
        <w:t>but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literature</w:t>
      </w:r>
      <w:r w:rsidR="00883178">
        <w:t xml:space="preserve"> </w:t>
      </w:r>
      <w:r w:rsidRPr="00376F57">
        <w:t>provides</w:t>
      </w:r>
      <w:r w:rsidR="00883178">
        <w:t xml:space="preserve"> </w:t>
      </w:r>
      <w:r w:rsidRPr="00376F57">
        <w:t>examples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ways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can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drivers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community-based</w:t>
      </w:r>
      <w:r w:rsidR="00883178">
        <w:t xml:space="preserve"> </w:t>
      </w:r>
      <w:r w:rsidRPr="00376F57">
        <w:t>solutions.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many</w:t>
      </w:r>
      <w:r w:rsidR="00883178">
        <w:t xml:space="preserve"> </w:t>
      </w:r>
      <w:r w:rsidRPr="00376F57">
        <w:t>communities,</w:t>
      </w:r>
      <w:r w:rsidR="00883178">
        <w:t xml:space="preserve"> </w:t>
      </w:r>
      <w:r w:rsidRPr="00376F57">
        <w:t>return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desirable</w:t>
      </w:r>
      <w:r w:rsidR="00883178">
        <w:t xml:space="preserve"> </w:t>
      </w:r>
      <w:r w:rsidRPr="00376F57">
        <w:t>durable</w:t>
      </w:r>
      <w:r w:rsidR="00883178">
        <w:t xml:space="preserve"> </w:t>
      </w:r>
      <w:r w:rsidRPr="00376F57">
        <w:t>solution,</w:t>
      </w:r>
      <w:r w:rsidR="00883178">
        <w:t xml:space="preserve"> </w:t>
      </w:r>
      <w:r w:rsidRPr="00376F57">
        <w:t>but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less</w:t>
      </w:r>
      <w:r w:rsidR="00883178">
        <w:t xml:space="preserve"> </w:t>
      </w:r>
      <w:r w:rsidRPr="00376F57">
        <w:t>likely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where</w:t>
      </w:r>
      <w:r w:rsidR="00883178">
        <w:t xml:space="preserve"> </w:t>
      </w:r>
      <w:r w:rsidRPr="00376F57">
        <w:t>slow-onset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play</w:t>
      </w:r>
      <w:r w:rsidR="00883178">
        <w:t xml:space="preserve"> </w:t>
      </w:r>
      <w:r w:rsidRPr="00376F57">
        <w:t>since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tend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but</w:t>
      </w:r>
      <w:r w:rsidR="00883178">
        <w:t xml:space="preserve"> </w:t>
      </w:r>
      <w:r w:rsidRPr="00376F57">
        <w:t>irreversible.</w:t>
      </w:r>
      <w:r w:rsidR="00883178">
        <w:t xml:space="preserve"> </w:t>
      </w:r>
    </w:p>
    <w:p w14:paraId="267055E3" w14:textId="163300F8" w:rsidR="00F36E7C" w:rsidRPr="00376F57" w:rsidRDefault="00F36E7C" w:rsidP="00F36E7C">
      <w:pPr>
        <w:pStyle w:val="ParaNoG"/>
      </w:pPr>
      <w:r w:rsidRPr="00376F57">
        <w:rPr>
          <w:spacing w:val="4"/>
        </w:rPr>
        <w:t>In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case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concerning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deportation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of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Kiribati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citizen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from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New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Zealand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who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claimed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to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be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climate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change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refugee,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</w:t>
      </w:r>
      <w:r w:rsidRPr="00376F57">
        <w:t>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Committee</w:t>
      </w:r>
      <w:r w:rsidR="00883178">
        <w:t xml:space="preserve"> </w:t>
      </w:r>
      <w:r w:rsidRPr="00376F57">
        <w:t>held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facts</w:t>
      </w:r>
      <w:r w:rsidR="00883178">
        <w:t xml:space="preserve"> </w:t>
      </w:r>
      <w:r w:rsidRPr="00376F57">
        <w:t>before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did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permit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conclude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author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removal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Kiribati</w:t>
      </w:r>
      <w:r w:rsidR="00883178">
        <w:t xml:space="preserve"> </w:t>
      </w:r>
      <w:r w:rsidRPr="00376F57">
        <w:t>violated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under</w:t>
      </w:r>
      <w:r w:rsidR="00883178">
        <w:t xml:space="preserve"> </w:t>
      </w:r>
      <w:r w:rsidRPr="00376F57">
        <w:t>article</w:t>
      </w:r>
      <w:r w:rsidR="00883178">
        <w:t xml:space="preserve"> </w:t>
      </w:r>
      <w:r w:rsidRPr="00376F57">
        <w:t>6</w:t>
      </w:r>
      <w:r w:rsidR="00883178">
        <w:t xml:space="preserve"> </w:t>
      </w:r>
      <w:r w:rsidRPr="00376F57">
        <w:t>(1)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Covenant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Civil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Political</w:t>
      </w:r>
      <w:r w:rsidR="00883178">
        <w:t xml:space="preserve"> </w:t>
      </w:r>
      <w:r w:rsidRPr="00376F57">
        <w:t>Rights.</w:t>
      </w:r>
      <w:r w:rsidRPr="00376F57">
        <w:rPr>
          <w:rStyle w:val="FootnoteReference"/>
        </w:rPr>
        <w:footnoteReference w:id="15"/>
      </w:r>
    </w:p>
    <w:p w14:paraId="3E9BAFB8" w14:textId="75B98D85" w:rsidR="00F36E7C" w:rsidRPr="00376F57" w:rsidRDefault="00F36E7C" w:rsidP="00F36E7C">
      <w:pPr>
        <w:pStyle w:val="ParaNoG"/>
      </w:pPr>
      <w:r w:rsidRPr="00376F57">
        <w:t>It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appear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finding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findings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court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initially</w:t>
      </w:r>
      <w:r w:rsidR="00883178">
        <w:t xml:space="preserve"> </w:t>
      </w:r>
      <w:r w:rsidRPr="00376F57">
        <w:t>heard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case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across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borders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defined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refugees</w:t>
      </w:r>
      <w:r w:rsidR="00883178">
        <w:t xml:space="preserve"> </w:t>
      </w:r>
      <w:r w:rsidRPr="00376F57">
        <w:t>under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1951</w:t>
      </w:r>
      <w:r w:rsidR="00883178">
        <w:t xml:space="preserve"> </w:t>
      </w:r>
      <w:r w:rsidRPr="00376F57">
        <w:t>Convention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Status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Refugees.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appears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no</w:t>
      </w:r>
      <w:r w:rsidR="00883178">
        <w:t xml:space="preserve"> </w:t>
      </w:r>
      <w:r w:rsidRPr="00376F57">
        <w:t>legal</w:t>
      </w:r>
      <w:r w:rsidR="00883178">
        <w:t xml:space="preserve"> </w:t>
      </w:r>
      <w:r w:rsidRPr="00376F57">
        <w:t>definition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refugee.</w:t>
      </w:r>
      <w:r w:rsidR="00883178">
        <w:t xml:space="preserve"> </w:t>
      </w:r>
    </w:p>
    <w:p w14:paraId="75B0FFE8" w14:textId="515A4683" w:rsidR="00F36E7C" w:rsidRPr="00376F57" w:rsidRDefault="00F36E7C" w:rsidP="00F36E7C">
      <w:pPr>
        <w:pStyle w:val="ParaNoG"/>
        <w:rPr>
          <w:spacing w:val="4"/>
        </w:rPr>
      </w:pPr>
      <w:r w:rsidRPr="00376F57">
        <w:t>Consequently,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across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borders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result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being</w:t>
      </w:r>
      <w:r w:rsidR="00883178">
        <w:t xml:space="preserve"> </w:t>
      </w:r>
      <w:r w:rsidRPr="00376F57">
        <w:t>forcibly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legal</w:t>
      </w:r>
      <w:r w:rsidR="00883178">
        <w:t xml:space="preserve"> </w:t>
      </w:r>
      <w:r w:rsidRPr="00376F57">
        <w:t>protections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limited.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deprived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basic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leaving</w:t>
      </w:r>
      <w:r w:rsidR="00883178">
        <w:t xml:space="preserve"> </w:t>
      </w:r>
      <w:r w:rsidRPr="00376F57">
        <w:t>them</w:t>
      </w:r>
      <w:r w:rsidR="00883178">
        <w:t xml:space="preserve"> </w:t>
      </w:r>
      <w:r w:rsidRPr="00376F57">
        <w:t>susceptible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exploitation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suffering.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children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particularly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circumstances.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16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2022,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joined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issuing</w:t>
      </w:r>
      <w:r w:rsidR="00883178">
        <w:t xml:space="preserve"> </w:t>
      </w:r>
      <w:r w:rsidRPr="00376F57">
        <w:rPr>
          <w:spacing w:val="4"/>
        </w:rPr>
        <w:t>a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statement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by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special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procedure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mandate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holders,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in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which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noted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that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among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84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million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people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who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are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currently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forcibly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displaced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worldwide,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lesbian,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gay,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bisexual,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trans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and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gender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diverse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persons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are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among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most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vulnerable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and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marginalized.</w:t>
      </w:r>
      <w:r w:rsidRPr="00376F57">
        <w:rPr>
          <w:rStyle w:val="FootnoteReference"/>
        </w:rPr>
        <w:footnoteReference w:id="16"/>
      </w:r>
      <w:r w:rsidR="00883178">
        <w:rPr>
          <w:spacing w:val="4"/>
        </w:rPr>
        <w:t xml:space="preserve"> </w:t>
      </w:r>
      <w:r w:rsidRPr="00376F57">
        <w:rPr>
          <w:spacing w:val="4"/>
        </w:rPr>
        <w:t>Fleeing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persecution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and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socioeconomic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exclusion,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often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reside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in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countries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that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do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not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provide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strong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human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rights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protections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or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that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actively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discriminate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the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basis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of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sexual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orientation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and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gender</w:t>
      </w:r>
      <w:r w:rsidR="00883178">
        <w:rPr>
          <w:spacing w:val="4"/>
        </w:rPr>
        <w:t xml:space="preserve"> </w:t>
      </w:r>
      <w:r w:rsidRPr="00376F57">
        <w:rPr>
          <w:spacing w:val="4"/>
        </w:rPr>
        <w:t>identity.</w:t>
      </w:r>
    </w:p>
    <w:p w14:paraId="22564DDC" w14:textId="4AB5AA82" w:rsidR="00F36E7C" w:rsidRPr="00376F57" w:rsidRDefault="005B40D7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63F5BE05" w14:textId="72713710" w:rsidR="00F36E7C" w:rsidRPr="00376F57" w:rsidRDefault="00F36E7C" w:rsidP="005B40D7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relation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implications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displacement,</w:t>
      </w:r>
      <w:r w:rsidR="00883178"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t>focus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seeking</w:t>
      </w:r>
      <w:r w:rsidR="00883178">
        <w:t xml:space="preserve"> </w:t>
      </w:r>
      <w:r w:rsidRPr="00376F57">
        <w:t>views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interested</w:t>
      </w:r>
      <w:r w:rsidR="00883178">
        <w:t xml:space="preserve"> </w:t>
      </w:r>
      <w:r w:rsidRPr="00376F57">
        <w:t>parties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identifying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under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law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give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across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borders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consequence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6587C27F" w14:textId="6992995C" w:rsidR="00F36E7C" w:rsidRPr="00376F57" w:rsidRDefault="00F36E7C" w:rsidP="00FE159F">
      <w:pPr>
        <w:pStyle w:val="H1G"/>
        <w:outlineLvl w:val="1"/>
      </w:pPr>
      <w:bookmarkStart w:id="10" w:name="_Toc104788989"/>
      <w:r w:rsidRPr="00376F57">
        <w:tab/>
        <w:t>C.</w:t>
      </w:r>
      <w:r w:rsidRPr="00376F57">
        <w:tab/>
        <w:t>Exploration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enhancing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legislation,</w:t>
      </w:r>
      <w:r w:rsidR="00883178">
        <w:t xml:space="preserve"> </w:t>
      </w:r>
      <w:r w:rsidRPr="00376F57">
        <w:t>support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litigation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advancement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principle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</w:t>
      </w:r>
      <w:bookmarkEnd w:id="10"/>
    </w:p>
    <w:p w14:paraId="243D6592" w14:textId="6F557FA3" w:rsidR="00F36E7C" w:rsidRPr="00376F57" w:rsidRDefault="00F36E7C" w:rsidP="00FE159F">
      <w:pPr>
        <w:pStyle w:val="H23G"/>
        <w:outlineLvl w:val="2"/>
      </w:pPr>
      <w:bookmarkStart w:id="11" w:name="_Toc104788990"/>
      <w:r w:rsidRPr="00376F57">
        <w:tab/>
        <w:t>1.</w:t>
      </w:r>
      <w:r w:rsidRPr="00376F57">
        <w:tab/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legislation</w:t>
      </w:r>
      <w:bookmarkEnd w:id="11"/>
    </w:p>
    <w:p w14:paraId="626E46F0" w14:textId="689BC0CD" w:rsidR="00F36E7C" w:rsidRPr="00376F57" w:rsidRDefault="00F36E7C" w:rsidP="00F36E7C">
      <w:pPr>
        <w:pStyle w:val="ParaNoG"/>
        <w:rPr>
          <w:shd w:val="clear" w:color="auto" w:fill="FFFFFF"/>
        </w:rPr>
      </w:pPr>
      <w:r w:rsidRPr="00376F57">
        <w:t>Countries</w:t>
      </w:r>
      <w:r w:rsidR="00883178">
        <w:t xml:space="preserve"> </w:t>
      </w:r>
      <w:r w:rsidRPr="00376F57">
        <w:t>around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world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enacted</w:t>
      </w:r>
      <w:r w:rsidR="00883178">
        <w:t xml:space="preserve"> </w:t>
      </w:r>
      <w:r w:rsidRPr="00376F57">
        <w:t>laws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adopted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describe</w:t>
      </w:r>
      <w:r w:rsidR="00883178">
        <w:t xml:space="preserve"> </w:t>
      </w:r>
      <w:r w:rsidRPr="00376F57">
        <w:t>national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responses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Grantham</w:t>
      </w:r>
      <w:r w:rsidR="00883178">
        <w:t xml:space="preserve"> </w:t>
      </w:r>
      <w:r w:rsidRPr="00376F57">
        <w:t>Research</w:t>
      </w:r>
      <w:r w:rsidR="00883178">
        <w:t xml:space="preserve"> </w:t>
      </w:r>
      <w:r w:rsidRPr="00376F57">
        <w:t>Institute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Environment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produced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database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legislation.</w:t>
      </w:r>
      <w:r w:rsidRPr="00376F57">
        <w:rPr>
          <w:rStyle w:val="FootnoteReference"/>
        </w:rPr>
        <w:footnoteReference w:id="17"/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database,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rPr>
          <w:shd w:val="clear" w:color="auto" w:fill="FFFFFF"/>
        </w:rPr>
        <w:t>consider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legal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documents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establish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rules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procedures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related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following: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reduction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energy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demand;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promotion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low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carbon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lastRenderedPageBreak/>
        <w:t>energy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supply;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restriction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development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fossil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fuel-based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infrastructure;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promotion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low-carbon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buildings;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carbon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pricing;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lower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industry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emissions;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tackling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deforestation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promotion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sustainable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use;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other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mitigation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efforts;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climate-related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research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development;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low-carbon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transportation;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enhancement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adaptation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capabilities;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natural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disaster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risk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management.</w:t>
      </w:r>
    </w:p>
    <w:p w14:paraId="3BA4482B" w14:textId="03170623" w:rsidR="00F36E7C" w:rsidRPr="00376F57" w:rsidRDefault="0066272B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28717170" w14:textId="726335CB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will:</w:t>
      </w:r>
    </w:p>
    <w:p w14:paraId="2319AB08" w14:textId="11414EDB" w:rsidR="00F36E7C" w:rsidRPr="00376F57" w:rsidRDefault="0066272B" w:rsidP="0066272B">
      <w:pPr>
        <w:pStyle w:val="SingleTxtG"/>
      </w:pPr>
      <w:r w:rsidRPr="00376F57">
        <w:tab/>
      </w:r>
      <w:r w:rsidR="00F36E7C" w:rsidRPr="00376F57">
        <w:t>(a)</w:t>
      </w:r>
      <w:r w:rsidR="00F36E7C" w:rsidRPr="00376F57">
        <w:tab/>
      </w:r>
      <w:r w:rsidR="00F36E7C" w:rsidRPr="00376F57">
        <w:rPr>
          <w:shd w:val="clear" w:color="auto" w:fill="FFFFFF"/>
        </w:rPr>
        <w:t>Produce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series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communication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letters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focused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legislation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seek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submissions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best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practices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development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legislation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its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implications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rights.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seek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views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how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enhance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development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rights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protections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within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law.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report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compiling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communication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letters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good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practices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legislation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incorporate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rights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recommendations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enhancement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be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developed;</w:t>
      </w:r>
    </w:p>
    <w:p w14:paraId="2AC3277A" w14:textId="6FD6E7BE" w:rsidR="00F36E7C" w:rsidRPr="00376F57" w:rsidRDefault="0066272B" w:rsidP="0066272B">
      <w:pPr>
        <w:pStyle w:val="SingleTxtG"/>
      </w:pPr>
      <w:r w:rsidRPr="00376F57">
        <w:tab/>
      </w:r>
      <w:r w:rsidR="00F36E7C" w:rsidRPr="00376F57">
        <w:t>(b)</w:t>
      </w:r>
      <w:r w:rsidR="00F36E7C" w:rsidRPr="00376F57">
        <w:tab/>
      </w:r>
      <w:r w:rsidR="00F36E7C" w:rsidRPr="00376F57">
        <w:rPr>
          <w:shd w:val="clear" w:color="auto" w:fill="FFFFFF"/>
        </w:rPr>
        <w:t>Participate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educational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programmes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improve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judiciary</w:t>
      </w:r>
      <w:r w:rsidR="00454838" w:rsidRPr="00376F57">
        <w:rPr>
          <w:shd w:val="clear" w:color="auto" w:fill="FFFFFF"/>
        </w:rPr>
        <w:t>’</w:t>
      </w:r>
      <w:r w:rsidR="00F36E7C" w:rsidRPr="00376F57">
        <w:rPr>
          <w:shd w:val="clear" w:color="auto" w:fill="FFFFFF"/>
        </w:rPr>
        <w:t>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understanding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human</w:t>
      </w:r>
      <w:r w:rsidR="00883178">
        <w:rPr>
          <w:shd w:val="clear" w:color="auto" w:fill="FFFFFF"/>
        </w:rPr>
        <w:t xml:space="preserve"> </w:t>
      </w:r>
      <w:r w:rsidR="00F36E7C" w:rsidRPr="00376F57">
        <w:t>rights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law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law.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effort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has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already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commenced.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18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May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2022,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Special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Rapporteur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gave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keynote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address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color w:val="000000"/>
        </w:rPr>
        <w:t>at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the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Inaugural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Training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for</w:t>
      </w:r>
      <w:r w:rsidR="00883178">
        <w:rPr>
          <w:color w:val="000000"/>
        </w:rPr>
        <w:t xml:space="preserve"> </w:t>
      </w:r>
      <w:r w:rsidR="00F36E7C" w:rsidRPr="00376F57">
        <w:t>Pacific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Judges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on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Environment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and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Climate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Law,</w:t>
      </w:r>
      <w:r w:rsidR="00883178">
        <w:rPr>
          <w:color w:val="000000"/>
        </w:rPr>
        <w:t xml:space="preserve"> </w:t>
      </w:r>
      <w:r w:rsidR="00F36E7C" w:rsidRPr="00376F57">
        <w:rPr>
          <w:color w:val="000000"/>
        </w:rPr>
        <w:t>organized</w:t>
      </w:r>
      <w:r w:rsidR="00883178">
        <w:rPr>
          <w:color w:val="000000"/>
        </w:rPr>
        <w:t xml:space="preserve"> </w:t>
      </w:r>
      <w:r w:rsidR="00F36E7C" w:rsidRPr="00376F57">
        <w:rPr>
          <w:shd w:val="clear" w:color="auto" w:fill="FFFFFF"/>
        </w:rPr>
        <w:t>by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Regional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Office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United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Nations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Environment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Programme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(UNEP)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Asia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Pacific,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International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Union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Conservation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Nature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Natural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Resources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OHCHR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Regional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Office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="00F36E7C" w:rsidRPr="00376F57">
        <w:rPr>
          <w:shd w:val="clear" w:color="auto" w:fill="FFFFFF"/>
        </w:rPr>
        <w:t>Pacific</w:t>
      </w:r>
      <w:r w:rsidR="00F36E7C" w:rsidRPr="00376F57">
        <w:t>.</w:t>
      </w:r>
      <w:r w:rsidR="00883178">
        <w:rPr>
          <w:vertAlign w:val="superscript"/>
        </w:rPr>
        <w:t xml:space="preserve"> </w:t>
      </w:r>
    </w:p>
    <w:p w14:paraId="1BCE376F" w14:textId="315F0138" w:rsidR="00F36E7C" w:rsidRPr="00376F57" w:rsidRDefault="00F36E7C" w:rsidP="00FE159F">
      <w:pPr>
        <w:pStyle w:val="H23G"/>
        <w:outlineLvl w:val="2"/>
      </w:pPr>
      <w:bookmarkStart w:id="12" w:name="_Toc104788991"/>
      <w:r w:rsidRPr="00376F57">
        <w:tab/>
        <w:t>2.</w:t>
      </w:r>
      <w:r w:rsidRPr="00376F57">
        <w:tab/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litigation</w:t>
      </w:r>
      <w:bookmarkEnd w:id="12"/>
    </w:p>
    <w:p w14:paraId="51315512" w14:textId="7A348B31" w:rsidR="00F36E7C" w:rsidRPr="00376F57" w:rsidRDefault="00F36E7C" w:rsidP="00F36E7C">
      <w:pPr>
        <w:pStyle w:val="ParaNoG"/>
      </w:pPr>
      <w:r w:rsidRPr="00376F57">
        <w:t>According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UNEP</w:t>
      </w:r>
      <w:r w:rsidR="00883178">
        <w:t xml:space="preserve"> </w:t>
      </w:r>
      <w:r w:rsidRPr="00376F57">
        <w:t>report</w:t>
      </w:r>
      <w:r w:rsidR="00883178">
        <w:rPr>
          <w:rStyle w:val="Hyperlink"/>
          <w:color w:val="000000" w:themeColor="text1"/>
        </w:rPr>
        <w:t xml:space="preserve"> </w:t>
      </w:r>
      <w:r w:rsidRPr="00376F57">
        <w:rPr>
          <w:rStyle w:val="Hyperlink"/>
          <w:color w:val="000000" w:themeColor="text1"/>
        </w:rPr>
        <w:t>on</w:t>
      </w:r>
      <w:r w:rsidR="00883178">
        <w:rPr>
          <w:rStyle w:val="Hyperlink"/>
          <w:color w:val="000000" w:themeColor="text1"/>
        </w:rPr>
        <w:t xml:space="preserve"> </w:t>
      </w:r>
      <w:r w:rsidRPr="00376F57">
        <w:rPr>
          <w:rStyle w:val="Hyperlink"/>
          <w:color w:val="000000" w:themeColor="text1"/>
        </w:rPr>
        <w:t>climate</w:t>
      </w:r>
      <w:r w:rsidR="00883178">
        <w:rPr>
          <w:rStyle w:val="Hyperlink"/>
          <w:color w:val="000000" w:themeColor="text1"/>
        </w:rPr>
        <w:t xml:space="preserve"> </w:t>
      </w:r>
      <w:r w:rsidRPr="00376F57">
        <w:rPr>
          <w:rStyle w:val="Hyperlink"/>
          <w:color w:val="000000" w:themeColor="text1"/>
        </w:rPr>
        <w:t>change</w:t>
      </w:r>
      <w:r w:rsidR="00883178">
        <w:rPr>
          <w:rStyle w:val="Hyperlink"/>
          <w:color w:val="000000" w:themeColor="text1"/>
        </w:rPr>
        <w:t xml:space="preserve"> </w:t>
      </w:r>
      <w:r w:rsidRPr="00376F57">
        <w:rPr>
          <w:rStyle w:val="Hyperlink"/>
          <w:color w:val="000000" w:themeColor="text1"/>
        </w:rPr>
        <w:t>litigation,</w:t>
      </w:r>
      <w:r w:rsidRPr="00376F57">
        <w:rPr>
          <w:rStyle w:val="FootnoteReference"/>
        </w:rPr>
        <w:footnoteReference w:id="18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current</w:t>
      </w:r>
      <w:r w:rsidR="00883178">
        <w:t xml:space="preserve"> </w:t>
      </w:r>
      <w:r w:rsidRPr="00376F57">
        <w:t>levels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both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ambition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inadequate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meet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challenge.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consequence,</w:t>
      </w:r>
      <w:r w:rsidR="00883178">
        <w:t xml:space="preserve"> </w:t>
      </w:r>
      <w:r w:rsidRPr="00376F57">
        <w:t>individuals,</w:t>
      </w:r>
      <w:r w:rsidR="00883178">
        <w:t xml:space="preserve"> </w:t>
      </w:r>
      <w:r w:rsidRPr="00376F57">
        <w:t>communities,</w:t>
      </w:r>
      <w:r w:rsidR="00883178">
        <w:t xml:space="preserve"> </w:t>
      </w:r>
      <w:r w:rsidRPr="00376F57">
        <w:t>non-governmental</w:t>
      </w:r>
      <w:r w:rsidR="00883178">
        <w:t xml:space="preserve"> </w:t>
      </w:r>
      <w:r w:rsidRPr="00376F57">
        <w:t>organizations,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entities,</w:t>
      </w:r>
      <w:r w:rsidR="00883178">
        <w:t xml:space="preserve"> </w:t>
      </w:r>
      <w:r w:rsidRPr="00376F57">
        <w:t>subnational</w:t>
      </w:r>
      <w:r w:rsidR="00883178">
        <w:t xml:space="preserve"> </w:t>
      </w:r>
      <w:r w:rsidRPr="00376F57">
        <w:t>governments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brought</w:t>
      </w:r>
      <w:r w:rsidR="00883178">
        <w:t xml:space="preserve"> </w:t>
      </w:r>
      <w:r w:rsidRPr="00376F57">
        <w:t>cases</w:t>
      </w:r>
      <w:r w:rsidR="00883178">
        <w:t xml:space="preserve"> </w:t>
      </w:r>
      <w:r w:rsidRPr="00376F57">
        <w:t>seeking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compel</w:t>
      </w:r>
      <w:r w:rsidR="00883178">
        <w:t xml:space="preserve"> </w:t>
      </w:r>
      <w:r w:rsidRPr="00376F57">
        <w:t>enforcement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laws,</w:t>
      </w:r>
      <w:r w:rsidR="00883178">
        <w:t xml:space="preserve"> </w:t>
      </w:r>
      <w:r w:rsidRPr="00376F57">
        <w:t>replace</w:t>
      </w:r>
      <w:r w:rsidR="00883178">
        <w:t xml:space="preserve"> </w:t>
      </w:r>
      <w:r w:rsidRPr="00376F57">
        <w:t>them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stronger</w:t>
      </w:r>
      <w:r w:rsidR="00883178">
        <w:t xml:space="preserve"> </w:t>
      </w:r>
      <w:r w:rsidRPr="00376F57">
        <w:t>ones</w:t>
      </w:r>
      <w:r w:rsidR="00883178">
        <w:t xml:space="preserve"> </w:t>
      </w:r>
      <w:r w:rsidRPr="00376F57">
        <w:t>(and</w:t>
      </w:r>
      <w:r w:rsidR="00883178">
        <w:t xml:space="preserve"> </w:t>
      </w:r>
      <w:r w:rsidRPr="00376F57">
        <w:t>sometimes</w:t>
      </w:r>
      <w:r w:rsidR="00883178">
        <w:t xml:space="preserve"> </w:t>
      </w:r>
      <w:r w:rsidRPr="00376F57">
        <w:t>weaker</w:t>
      </w:r>
      <w:r w:rsidR="00883178">
        <w:t xml:space="preserve"> </w:t>
      </w:r>
      <w:r w:rsidRPr="00376F57">
        <w:t>ones),</w:t>
      </w:r>
      <w:r w:rsidR="00883178">
        <w:t xml:space="preserve"> </w:t>
      </w:r>
      <w:r w:rsidRPr="00376F57">
        <w:t>extend</w:t>
      </w:r>
      <w:r w:rsidR="00883178">
        <w:t xml:space="preserve"> </w:t>
      </w:r>
      <w:r w:rsidRPr="00376F57">
        <w:t>existing</w:t>
      </w:r>
      <w:r w:rsidR="00883178">
        <w:t xml:space="preserve"> </w:t>
      </w:r>
      <w:r w:rsidRPr="00376F57">
        <w:t>laws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define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relationship</w:t>
      </w:r>
      <w:r w:rsidR="00883178">
        <w:t xml:space="preserve"> </w:t>
      </w:r>
      <w:r w:rsidRPr="00376F57">
        <w:t>between</w:t>
      </w:r>
      <w:r w:rsidR="00883178">
        <w:t xml:space="preserve"> </w:t>
      </w:r>
      <w:r w:rsidRPr="00376F57">
        <w:t>fundamental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UNEP</w:t>
      </w:r>
      <w:r w:rsidR="00883178">
        <w:t xml:space="preserve"> </w:t>
      </w:r>
      <w:r w:rsidRPr="00376F57">
        <w:t>suggests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cases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date</w:t>
      </w:r>
      <w:r w:rsidR="00883178">
        <w:t xml:space="preserve"> </w:t>
      </w:r>
      <w:r w:rsidRPr="00376F57">
        <w:t>often</w:t>
      </w:r>
      <w:r w:rsidR="00883178">
        <w:t xml:space="preserve"> </w:t>
      </w:r>
      <w:r w:rsidRPr="00376F57">
        <w:t>fall</w:t>
      </w:r>
      <w:r w:rsidR="00883178">
        <w:t xml:space="preserve"> </w:t>
      </w:r>
      <w:r w:rsidRPr="00376F57">
        <w:t>into</w:t>
      </w:r>
      <w:r w:rsidR="00883178">
        <w:t xml:space="preserve"> </w:t>
      </w:r>
      <w:r w:rsidRPr="00376F57">
        <w:t>one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more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six</w:t>
      </w:r>
      <w:r w:rsidR="00883178">
        <w:t xml:space="preserve"> </w:t>
      </w:r>
      <w:r w:rsidRPr="00376F57">
        <w:t>categories:</w:t>
      </w:r>
      <w:r w:rsidR="00883178">
        <w:t xml:space="preserve"> </w:t>
      </w:r>
      <w:r w:rsidRPr="00376F57">
        <w:t>(a)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rights;</w:t>
      </w:r>
      <w:r w:rsidR="00883178">
        <w:t xml:space="preserve"> </w:t>
      </w:r>
      <w:r w:rsidRPr="00376F57">
        <w:t>(b)</w:t>
      </w:r>
      <w:r w:rsidR="00883178">
        <w:t xml:space="preserve"> </w:t>
      </w:r>
      <w:r w:rsidRPr="00376F57">
        <w:t>domestic</w:t>
      </w:r>
      <w:r w:rsidR="00883178">
        <w:t xml:space="preserve"> </w:t>
      </w:r>
      <w:r w:rsidRPr="00376F57">
        <w:t>enforcement;</w:t>
      </w:r>
      <w:r w:rsidR="00883178">
        <w:t xml:space="preserve"> </w:t>
      </w:r>
      <w:r w:rsidRPr="00376F57">
        <w:t>(c)</w:t>
      </w:r>
      <w:r w:rsidR="00883178">
        <w:t xml:space="preserve"> </w:t>
      </w:r>
      <w:r w:rsidRPr="00376F57">
        <w:t>keeping</w:t>
      </w:r>
      <w:r w:rsidR="00883178">
        <w:t xml:space="preserve"> </w:t>
      </w:r>
      <w:r w:rsidRPr="00376F57">
        <w:t>fossil</w:t>
      </w:r>
      <w:r w:rsidR="00883178">
        <w:t xml:space="preserve"> </w:t>
      </w:r>
      <w:r w:rsidRPr="00376F57">
        <w:t>fuels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ground;</w:t>
      </w:r>
      <w:r w:rsidR="00883178">
        <w:t xml:space="preserve"> </w:t>
      </w:r>
      <w:r w:rsidRPr="00376F57">
        <w:t>(d)</w:t>
      </w:r>
      <w:r w:rsidR="00883178">
        <w:t xml:space="preserve"> </w:t>
      </w:r>
      <w:r w:rsidRPr="00376F57">
        <w:t>corporate</w:t>
      </w:r>
      <w:r w:rsidR="00883178">
        <w:t xml:space="preserve"> </w:t>
      </w:r>
      <w:r w:rsidRPr="00376F57">
        <w:t>liability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responsibility;</w:t>
      </w:r>
      <w:r w:rsidR="00883178">
        <w:t xml:space="preserve"> </w:t>
      </w:r>
      <w:r w:rsidRPr="00376F57">
        <w:t>(e)</w:t>
      </w:r>
      <w:r w:rsidR="00883178">
        <w:t xml:space="preserve"> </w:t>
      </w:r>
      <w:r w:rsidRPr="00376F57">
        <w:t>failure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adapt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adaptation;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(f)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disclosures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greenwashing.</w:t>
      </w:r>
    </w:p>
    <w:p w14:paraId="55D4EA99" w14:textId="3839B0C0" w:rsidR="00F36E7C" w:rsidRPr="00376F57" w:rsidRDefault="001B4D4A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6438D34F" w14:textId="1F4A3012" w:rsidR="00F36E7C" w:rsidRPr="00376F57" w:rsidRDefault="00F36E7C" w:rsidP="001B4D4A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monitor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litigation,</w:t>
      </w:r>
      <w:r w:rsidR="00883178">
        <w:t xml:space="preserve"> </w:t>
      </w:r>
      <w:r w:rsidRPr="00376F57">
        <w:t>particularly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implementing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obligations.</w:t>
      </w:r>
      <w:r w:rsidR="00883178">
        <w:t xml:space="preserve"> </w:t>
      </w:r>
      <w:r w:rsidRPr="00376F57">
        <w:t>Where</w:t>
      </w:r>
      <w:r w:rsidR="00883178">
        <w:t xml:space="preserve"> </w:t>
      </w:r>
      <w:r w:rsidRPr="00376F57">
        <w:t>appropriate,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collaboration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holders,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produce</w:t>
      </w:r>
      <w:r w:rsidR="00883178">
        <w:t xml:space="preserve"> </w:t>
      </w:r>
      <w:r w:rsidRPr="00376F57">
        <w:rPr>
          <w:iCs/>
        </w:rPr>
        <w:t>amicus</w:t>
      </w:r>
      <w:r w:rsidR="00883178">
        <w:rPr>
          <w:iCs/>
        </w:rPr>
        <w:t xml:space="preserve"> </w:t>
      </w:r>
      <w:r w:rsidRPr="00376F57">
        <w:rPr>
          <w:iCs/>
        </w:rPr>
        <w:t>curiae</w:t>
      </w:r>
      <w:r w:rsidR="00883178">
        <w:rPr>
          <w:iCs/>
        </w:rPr>
        <w:t xml:space="preserve"> </w:t>
      </w:r>
      <w:r w:rsidRPr="00376F57">
        <w:rPr>
          <w:iCs/>
        </w:rPr>
        <w:t>briefs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certain</w:t>
      </w:r>
      <w:r w:rsidR="00883178">
        <w:t xml:space="preserve"> </w:t>
      </w:r>
      <w:r w:rsidRPr="00376F57">
        <w:t>litigation</w:t>
      </w:r>
      <w:r w:rsidR="00883178">
        <w:t xml:space="preserve"> </w:t>
      </w:r>
      <w:r w:rsidRPr="00376F57">
        <w:t>cases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relevance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implementing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monitoring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compliance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responsibilities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730F74D5" w14:textId="6439126B" w:rsidR="00F36E7C" w:rsidRPr="00376F57" w:rsidRDefault="00F36E7C" w:rsidP="00FE159F">
      <w:pPr>
        <w:pStyle w:val="H23G"/>
        <w:outlineLvl w:val="2"/>
      </w:pPr>
      <w:bookmarkStart w:id="13" w:name="_Toc104788992"/>
      <w:r w:rsidRPr="00376F57">
        <w:tab/>
        <w:t>3.</w:t>
      </w:r>
      <w:r w:rsidRPr="00376F57">
        <w:tab/>
        <w:t>Intergenerational</w:t>
      </w:r>
      <w:r w:rsidR="00883178">
        <w:t xml:space="preserve"> </w:t>
      </w:r>
      <w:r w:rsidRPr="00376F57">
        <w:t>justice</w:t>
      </w:r>
      <w:bookmarkEnd w:id="13"/>
    </w:p>
    <w:p w14:paraId="3302083D" w14:textId="36D70707" w:rsidR="00F36E7C" w:rsidRPr="00376F57" w:rsidRDefault="00F36E7C" w:rsidP="00F36E7C">
      <w:pPr>
        <w:pStyle w:val="ParaNoG"/>
      </w:pPr>
      <w:r w:rsidRPr="00376F57">
        <w:t>According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concept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taking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must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only</w:t>
      </w:r>
      <w:r w:rsidR="00883178">
        <w:t xml:space="preserve"> </w:t>
      </w:r>
      <w:r w:rsidRPr="00376F57">
        <w:t>consider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duties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current</w:t>
      </w:r>
      <w:r w:rsidR="00883178">
        <w:t xml:space="preserve"> </w:t>
      </w:r>
      <w:r w:rsidRPr="00376F57">
        <w:t>generations.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must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protect</w:t>
      </w:r>
      <w:r w:rsidR="00883178">
        <w:t xml:space="preserve"> </w:t>
      </w:r>
      <w:r w:rsidRPr="00376F57">
        <w:t>future</w:t>
      </w:r>
      <w:r w:rsidR="00883178">
        <w:t xml:space="preserve"> </w:t>
      </w:r>
      <w:r w:rsidRPr="00376F57">
        <w:t>generations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strengthened</w:t>
      </w:r>
      <w:r w:rsidR="00883178">
        <w:t xml:space="preserve"> </w:t>
      </w:r>
      <w:r w:rsidRPr="00376F57">
        <w:t>constitutional</w:t>
      </w:r>
      <w:r w:rsidR="00883178">
        <w:t xml:space="preserve"> </w:t>
      </w:r>
      <w:r w:rsidRPr="00376F57">
        <w:t>anchoring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justice,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key</w:t>
      </w:r>
      <w:r w:rsidR="00883178">
        <w:t xml:space="preserve"> </w:t>
      </w:r>
      <w:r w:rsidRPr="00376F57">
        <w:t>functional</w:t>
      </w:r>
      <w:r w:rsidR="00883178">
        <w:t xml:space="preserve"> </w:t>
      </w:r>
      <w:r w:rsidRPr="00376F57">
        <w:t>element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work.</w:t>
      </w:r>
    </w:p>
    <w:p w14:paraId="7002E58C" w14:textId="209E955B" w:rsidR="00F36E7C" w:rsidRPr="00376F57" w:rsidRDefault="001B4D4A" w:rsidP="0000598D">
      <w:pPr>
        <w:pStyle w:val="H4G"/>
        <w:outlineLvl w:val="3"/>
      </w:pPr>
      <w:r w:rsidRPr="00376F57">
        <w:lastRenderedPageBreak/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3A2D2073" w14:textId="2E834FBF" w:rsidR="00F36E7C" w:rsidRPr="00376F57" w:rsidRDefault="00F36E7C" w:rsidP="0000598D">
      <w:pPr>
        <w:pStyle w:val="ParaNoG"/>
        <w:keepNext/>
        <w:keepLines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will:</w:t>
      </w:r>
    </w:p>
    <w:p w14:paraId="7042A787" w14:textId="07BF6721" w:rsidR="00F36E7C" w:rsidRPr="00376F57" w:rsidRDefault="00F36E7C" w:rsidP="0000598D">
      <w:pPr>
        <w:pStyle w:val="SingleTxtG"/>
        <w:keepNext/>
        <w:keepLines/>
      </w:pPr>
      <w:r w:rsidRPr="00376F57">
        <w:tab/>
        <w:t>(a)</w:t>
      </w:r>
      <w:r w:rsidRPr="00376F57">
        <w:tab/>
        <w:t>Explore</w:t>
      </w:r>
      <w:r w:rsidR="00883178">
        <w:t xml:space="preserve"> </w:t>
      </w:r>
      <w:r w:rsidRPr="00376F57">
        <w:t>options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enshrining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principle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law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encourage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incorporate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concept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national</w:t>
      </w:r>
      <w:r w:rsidR="00883178">
        <w:t xml:space="preserve"> </w:t>
      </w:r>
      <w:r w:rsidRPr="00376F57">
        <w:t>constitutions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legislation.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seek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good</w:t>
      </w:r>
      <w:r w:rsidR="00883178">
        <w:t xml:space="preserve"> </w:t>
      </w:r>
      <w:r w:rsidRPr="00376F57">
        <w:t>practices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promote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practices;</w:t>
      </w:r>
    </w:p>
    <w:p w14:paraId="4821D862" w14:textId="19DD779A" w:rsidR="00F36E7C" w:rsidRPr="00376F57" w:rsidRDefault="00F36E7C" w:rsidP="001B4D4A">
      <w:pPr>
        <w:pStyle w:val="SingleTxtG"/>
      </w:pPr>
      <w:r w:rsidRPr="00376F57">
        <w:tab/>
        <w:t>(b)</w:t>
      </w:r>
      <w:r w:rsidRPr="00376F57">
        <w:tab/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principle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intergenerational</w:t>
      </w:r>
      <w:r w:rsidR="00883178">
        <w:t xml:space="preserve"> </w:t>
      </w:r>
      <w:r w:rsidRPr="00376F57">
        <w:t>justice,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explore</w:t>
      </w:r>
      <w:r w:rsidR="00883178">
        <w:t xml:space="preserve"> </w:t>
      </w:r>
      <w:r w:rsidRPr="00376F57">
        <w:t>best</w:t>
      </w:r>
      <w:r w:rsidR="00883178">
        <w:t xml:space="preserve"> </w:t>
      </w:r>
      <w:r w:rsidRPr="00376F57">
        <w:t>practices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allow</w:t>
      </w:r>
      <w:r w:rsidR="00883178">
        <w:t xml:space="preserve"> </w:t>
      </w:r>
      <w:r w:rsidRPr="00376F57">
        <w:t>youth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represented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courts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views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concerns</w:t>
      </w:r>
      <w:r w:rsidR="00883178">
        <w:t xml:space="preserve"> </w:t>
      </w:r>
      <w:r w:rsidRPr="00376F57">
        <w:t>properly</w:t>
      </w:r>
      <w:r w:rsidR="00883178">
        <w:t xml:space="preserve"> </w:t>
      </w:r>
      <w:r w:rsidRPr="00376F57">
        <w:t>expressed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judicial</w:t>
      </w:r>
      <w:r w:rsidR="00883178">
        <w:t xml:space="preserve"> </w:t>
      </w:r>
      <w:r w:rsidRPr="00376F57">
        <w:t>process.</w:t>
      </w:r>
    </w:p>
    <w:p w14:paraId="557708A2" w14:textId="369B9C41" w:rsidR="00F36E7C" w:rsidRPr="00376F57" w:rsidRDefault="00F36E7C" w:rsidP="00FE159F">
      <w:pPr>
        <w:pStyle w:val="H1G"/>
        <w:outlineLvl w:val="1"/>
      </w:pPr>
      <w:bookmarkStart w:id="14" w:name="_Toc104788993"/>
      <w:r w:rsidRPr="00376F57">
        <w:tab/>
        <w:t>D.</w:t>
      </w:r>
      <w:r w:rsidRPr="00376F57">
        <w:tab/>
        <w:t>Corporate</w:t>
      </w:r>
      <w:r w:rsidR="00883178">
        <w:t xml:space="preserve"> </w:t>
      </w:r>
      <w:r w:rsidRPr="00376F57">
        <w:t>accountability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bookmarkEnd w:id="14"/>
    </w:p>
    <w:p w14:paraId="5293114E" w14:textId="2EFFBF65" w:rsidR="00F36E7C" w:rsidRPr="00376F57" w:rsidRDefault="00F36E7C" w:rsidP="00F36E7C">
      <w:pPr>
        <w:pStyle w:val="ParaNoG"/>
      </w:pPr>
      <w:r w:rsidRPr="00376F57">
        <w:t>There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rPr>
          <w:bCs/>
        </w:rPr>
        <w:t>growing</w:t>
      </w:r>
      <w:r w:rsidR="00883178">
        <w:rPr>
          <w:bCs/>
        </w:rPr>
        <w:t xml:space="preserve"> </w:t>
      </w:r>
      <w:r w:rsidRPr="00376F57">
        <w:rPr>
          <w:bCs/>
        </w:rPr>
        <w:t>call</w:t>
      </w:r>
      <w:r w:rsidR="00883178">
        <w:rPr>
          <w:bCs/>
        </w:rPr>
        <w:t xml:space="preserve"> </w:t>
      </w:r>
      <w:r w:rsidRPr="00376F57">
        <w:rPr>
          <w:bCs/>
        </w:rPr>
        <w:t>for</w:t>
      </w:r>
      <w:r w:rsidR="00883178">
        <w:rPr>
          <w:bCs/>
        </w:rPr>
        <w:t xml:space="preserve"> </w:t>
      </w:r>
      <w:r w:rsidRPr="00376F57">
        <w:rPr>
          <w:bCs/>
        </w:rPr>
        <w:t>companies</w:t>
      </w:r>
      <w:r w:rsidR="00883178">
        <w:rPr>
          <w:bCs/>
        </w:rPr>
        <w:t xml:space="preserve"> </w:t>
      </w:r>
      <w:r w:rsidRPr="00376F57">
        <w:rPr>
          <w:bCs/>
        </w:rPr>
        <w:t>to</w:t>
      </w:r>
      <w:r w:rsidR="00883178">
        <w:rPr>
          <w:bCs/>
        </w:rPr>
        <w:t xml:space="preserve"> </w:t>
      </w:r>
      <w:r w:rsidRPr="00376F57">
        <w:rPr>
          <w:bCs/>
        </w:rPr>
        <w:t>disclose</w:t>
      </w:r>
      <w:r w:rsidR="00883178">
        <w:rPr>
          <w:bCs/>
        </w:rPr>
        <w:t xml:space="preserve"> </w:t>
      </w:r>
      <w:r w:rsidRPr="00376F57">
        <w:rPr>
          <w:bCs/>
        </w:rPr>
        <w:t>the</w:t>
      </w:r>
      <w:r w:rsidR="00883178">
        <w:rPr>
          <w:bCs/>
        </w:rPr>
        <w:t xml:space="preserve"> </w:t>
      </w:r>
      <w:r w:rsidRPr="00376F57">
        <w:rPr>
          <w:bCs/>
        </w:rPr>
        <w:t>risks</w:t>
      </w:r>
      <w:r w:rsidR="00883178">
        <w:rPr>
          <w:bCs/>
        </w:rPr>
        <w:t xml:space="preserve"> </w:t>
      </w:r>
      <w:r w:rsidRPr="00376F57">
        <w:rPr>
          <w:bCs/>
        </w:rPr>
        <w:t>they</w:t>
      </w:r>
      <w:r w:rsidR="00883178">
        <w:rPr>
          <w:bCs/>
        </w:rPr>
        <w:t xml:space="preserve"> </w:t>
      </w:r>
      <w:r w:rsidRPr="00376F57">
        <w:rPr>
          <w:bCs/>
        </w:rPr>
        <w:t>are</w:t>
      </w:r>
      <w:r w:rsidR="00883178">
        <w:rPr>
          <w:bCs/>
        </w:rPr>
        <w:t xml:space="preserve"> </w:t>
      </w:r>
      <w:r w:rsidRPr="00376F57">
        <w:rPr>
          <w:bCs/>
        </w:rPr>
        <w:t>facing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responsibilities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transitioning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low-carbon</w:t>
      </w:r>
      <w:r w:rsidR="00883178">
        <w:t xml:space="preserve"> </w:t>
      </w:r>
      <w:r w:rsidRPr="00376F57">
        <w:t>economies.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idea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disclosure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help</w:t>
      </w:r>
      <w:r w:rsidR="00883178">
        <w:t xml:space="preserve"> </w:t>
      </w:r>
      <w:r w:rsidRPr="00376F57">
        <w:t>investors</w:t>
      </w:r>
      <w:r w:rsidR="00883178">
        <w:t xml:space="preserve"> </w:t>
      </w:r>
      <w:r w:rsidRPr="00376F57">
        <w:t>understand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risks</w:t>
      </w:r>
      <w:r w:rsidR="00883178">
        <w:t xml:space="preserve"> </w:t>
      </w:r>
      <w:r w:rsidRPr="00376F57">
        <w:t>so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can</w:t>
      </w:r>
      <w:r w:rsidR="00883178">
        <w:t xml:space="preserve"> </w:t>
      </w:r>
      <w:r w:rsidRPr="00376F57">
        <w:t>make</w:t>
      </w:r>
      <w:r w:rsidR="00883178">
        <w:t xml:space="preserve"> </w:t>
      </w:r>
      <w:r w:rsidRPr="00376F57">
        <w:t>more</w:t>
      </w:r>
      <w:r w:rsidR="00883178">
        <w:t xml:space="preserve"> </w:t>
      </w:r>
      <w:r w:rsidRPr="00376F57">
        <w:t>informed</w:t>
      </w:r>
      <w:r w:rsidR="00883178">
        <w:t xml:space="preserve"> </w:t>
      </w:r>
      <w:r w:rsidRPr="00376F57">
        <w:t>investment</w:t>
      </w:r>
      <w:r w:rsidR="00883178">
        <w:t xml:space="preserve"> </w:t>
      </w:r>
      <w:r w:rsidRPr="00376F57">
        <w:t>decisions.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much</w:t>
      </w:r>
      <w:r w:rsidR="00883178">
        <w:t xml:space="preserve"> </w:t>
      </w:r>
      <w:r w:rsidRPr="00376F57">
        <w:t>speculation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companies</w:t>
      </w:r>
      <w:r w:rsidR="00883178">
        <w:t xml:space="preserve"> </w:t>
      </w:r>
      <w:r w:rsidRPr="00376F57">
        <w:t>should</w:t>
      </w:r>
      <w:r w:rsidR="00883178">
        <w:t xml:space="preserve"> </w:t>
      </w:r>
      <w:r w:rsidRPr="00376F57">
        <w:t>assess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risks,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whether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disclosures</w:t>
      </w:r>
      <w:r w:rsidR="00883178">
        <w:t xml:space="preserve"> </w:t>
      </w:r>
      <w:r w:rsidRPr="00376F57">
        <w:t>should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mandatory.</w:t>
      </w:r>
    </w:p>
    <w:p w14:paraId="6F0BD119" w14:textId="5D0EEA8A" w:rsidR="00F36E7C" w:rsidRPr="00376F57" w:rsidRDefault="00F36E7C" w:rsidP="00F36E7C">
      <w:pPr>
        <w:pStyle w:val="ParaNoG"/>
      </w:pP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recognition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particular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challenges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involved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assessing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reporting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climate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change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risk,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Stability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Board,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international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body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oversees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global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stability,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created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Task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Force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Climate-related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Disclosures.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Task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Force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industry-led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initiative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made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up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representatives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from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various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sectors,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including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banks,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insurance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companies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non-financial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corporations.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June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2017,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Task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Force</w:t>
      </w:r>
      <w:r w:rsidR="00883178">
        <w:rPr>
          <w:shd w:val="clear" w:color="auto" w:fill="FFFFFF"/>
        </w:rPr>
        <w:t xml:space="preserve"> </w:t>
      </w:r>
      <w:r w:rsidRPr="00376F57">
        <w:t>published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its</w:t>
      </w:r>
      <w:r w:rsidR="00883178">
        <w:rPr>
          <w:rFonts w:eastAsia="Arial"/>
          <w:color w:val="000000" w:themeColor="text1"/>
          <w:shd w:val="clear" w:color="auto" w:fill="FFFFFF"/>
        </w:rPr>
        <w:t xml:space="preserve"> </w:t>
      </w:r>
      <w:r w:rsidRPr="00376F57">
        <w:rPr>
          <w:rFonts w:eastAsia="Arial"/>
          <w:bCs/>
        </w:rPr>
        <w:t>final</w:t>
      </w:r>
      <w:r w:rsidR="00883178">
        <w:rPr>
          <w:rFonts w:eastAsia="Arial"/>
          <w:bCs/>
        </w:rPr>
        <w:t xml:space="preserve"> </w:t>
      </w:r>
      <w:r w:rsidRPr="00376F57">
        <w:rPr>
          <w:rFonts w:eastAsia="Arial"/>
          <w:bCs/>
        </w:rPr>
        <w:t>report,</w:t>
      </w:r>
      <w:r w:rsidRPr="00376F57">
        <w:rPr>
          <w:rStyle w:val="FootnoteReference"/>
        </w:rPr>
        <w:footnoteReference w:id="19"/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which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recommended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companies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include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climate-related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disclosures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their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annual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financial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filings.</w:t>
      </w:r>
    </w:p>
    <w:p w14:paraId="33619E46" w14:textId="350F8D61" w:rsidR="00F36E7C" w:rsidRPr="00376F57" w:rsidRDefault="00F36E7C" w:rsidP="00F36E7C">
      <w:pPr>
        <w:pStyle w:val="ParaNoG"/>
        <w:rPr>
          <w:rFonts w:eastAsia="Arial"/>
          <w:color w:val="000000" w:themeColor="text1"/>
          <w:shd w:val="clear" w:color="auto" w:fill="FFFFFF"/>
        </w:rPr>
      </w:pP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recommendations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Task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Force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entirely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voluntary,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converting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recommendations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requirements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will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require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some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work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practical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details.</w:t>
      </w:r>
    </w:p>
    <w:p w14:paraId="4301B660" w14:textId="02594841" w:rsidR="00F36E7C" w:rsidRPr="00376F57" w:rsidRDefault="00F36E7C" w:rsidP="00F36E7C">
      <w:pPr>
        <w:pStyle w:val="ParaNoG"/>
      </w:pPr>
      <w:r w:rsidRPr="00376F57">
        <w:rPr>
          <w:rFonts w:eastAsia="Arial"/>
        </w:rPr>
        <w:t>Another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organization,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the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Carbon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Disclosure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Project,</w:t>
      </w:r>
      <w:r w:rsidR="00883178">
        <w:rPr>
          <w:rFonts w:eastAsia="Arial"/>
        </w:rPr>
        <w:t xml:space="preserve"> </w:t>
      </w:r>
      <w:r w:rsidRPr="00376F57">
        <w:t>on</w:t>
      </w:r>
      <w:r w:rsidR="00883178">
        <w:t xml:space="preserve"> </w:t>
      </w:r>
      <w:r w:rsidRPr="00376F57">
        <w:t>behalf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over</w:t>
      </w:r>
      <w:r w:rsidR="00883178">
        <w:t xml:space="preserve"> </w:t>
      </w:r>
      <w:r w:rsidRPr="00376F57">
        <w:t>680</w:t>
      </w:r>
      <w:r w:rsidR="00883178">
        <w:t xml:space="preserve"> </w:t>
      </w:r>
      <w:r w:rsidRPr="00376F57">
        <w:t>institutional</w:t>
      </w:r>
      <w:r w:rsidR="00883178">
        <w:t xml:space="preserve"> </w:t>
      </w:r>
      <w:r w:rsidRPr="00376F57">
        <w:rPr>
          <w:shd w:val="clear" w:color="auto" w:fill="FFFFFF"/>
        </w:rPr>
        <w:t>investor</w:t>
      </w:r>
      <w:r w:rsidR="00883178">
        <w:t xml:space="preserve"> </w:t>
      </w:r>
      <w:r w:rsidRPr="00376F57">
        <w:t>signatories,</w:t>
      </w:r>
      <w:r w:rsidR="00883178">
        <w:rPr>
          <w:rFonts w:eastAsia="Arial"/>
        </w:rPr>
        <w:t xml:space="preserve"> </w:t>
      </w:r>
      <w:r w:rsidRPr="00376F57">
        <w:rPr>
          <w:rFonts w:eastAsia="Arial"/>
        </w:rPr>
        <w:t>has</w:t>
      </w:r>
      <w:r w:rsidR="00883178">
        <w:rPr>
          <w:rFonts w:eastAsia="Arial"/>
        </w:rPr>
        <w:t xml:space="preserve"> </w:t>
      </w:r>
      <w:r w:rsidRPr="00376F57">
        <w:t>requested</w:t>
      </w:r>
      <w:r w:rsidR="00883178">
        <w:t xml:space="preserve"> </w:t>
      </w:r>
      <w:r w:rsidRPr="00376F57">
        <w:t>information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risks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low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opportunities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world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largest</w:t>
      </w:r>
      <w:r w:rsidR="00883178">
        <w:t xml:space="preserve"> </w:t>
      </w:r>
      <w:r w:rsidRPr="00376F57">
        <w:t>companies,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combined</w:t>
      </w:r>
      <w:r w:rsidR="00883178">
        <w:t xml:space="preserve"> </w:t>
      </w:r>
      <w:r w:rsidRPr="00376F57">
        <w:t>$130</w:t>
      </w:r>
      <w:r w:rsidR="00883178">
        <w:t xml:space="preserve"> </w:t>
      </w:r>
      <w:r w:rsidRPr="00376F57">
        <w:t>trillion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assets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more</w:t>
      </w:r>
      <w:r w:rsidR="00883178">
        <w:t xml:space="preserve"> </w:t>
      </w:r>
      <w:r w:rsidRPr="00376F57">
        <w:t>than</w:t>
      </w:r>
      <w:r w:rsidR="00883178">
        <w:t xml:space="preserve"> </w:t>
      </w:r>
      <w:r w:rsidRPr="00376F57">
        <w:t>200</w:t>
      </w:r>
      <w:r w:rsidR="00883178">
        <w:t xml:space="preserve"> </w:t>
      </w:r>
      <w:r w:rsidRPr="00376F57">
        <w:t>major</w:t>
      </w:r>
      <w:r w:rsidR="00883178">
        <w:t xml:space="preserve"> </w:t>
      </w:r>
      <w:r w:rsidRPr="00376F57">
        <w:t>purchasers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over</w:t>
      </w:r>
      <w:r w:rsidR="00883178">
        <w:t xml:space="preserve"> </w:t>
      </w:r>
      <w:r w:rsidRPr="00376F57">
        <w:t>$5.5</w:t>
      </w:r>
      <w:r w:rsidR="00883178">
        <w:t xml:space="preserve"> </w:t>
      </w:r>
      <w:r w:rsidRPr="00376F57">
        <w:t>trillion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procurement</w:t>
      </w:r>
      <w:r w:rsidR="00883178">
        <w:t xml:space="preserve"> </w:t>
      </w:r>
      <w:r w:rsidRPr="00376F57">
        <w:t>expenditures.</w:t>
      </w:r>
      <w:r w:rsidRPr="00376F57">
        <w:rPr>
          <w:rStyle w:val="FootnoteReference"/>
        </w:rPr>
        <w:footnoteReference w:id="20"/>
      </w:r>
    </w:p>
    <w:p w14:paraId="33BE5DA3" w14:textId="7E8A49A1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2011,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17/4,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endorsed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Guiding</w:t>
      </w:r>
      <w:r w:rsidR="00883178">
        <w:t xml:space="preserve"> </w:t>
      </w:r>
      <w:r w:rsidRPr="00376F57">
        <w:t>Principles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  <w:r w:rsidR="00883178">
        <w:t xml:space="preserve"> </w:t>
      </w:r>
      <w:r w:rsidRPr="00376F57">
        <w:t>Consistent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(l)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closely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relevant</w:t>
      </w:r>
      <w:r w:rsidR="00883178">
        <w:t xml:space="preserve"> </w:t>
      </w:r>
      <w:r w:rsidRPr="00376F57">
        <w:t>stakeholders,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enterprises,</w:t>
      </w:r>
      <w:r w:rsidR="00883178">
        <w:t xml:space="preserve"> </w:t>
      </w:r>
      <w:r w:rsidRPr="00376F57">
        <w:t>both</w:t>
      </w:r>
      <w:r w:rsidR="00883178">
        <w:t xml:space="preserve"> </w:t>
      </w:r>
      <w:r w:rsidRPr="00376F57">
        <w:t>transnational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others,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adopt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perspective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accordance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Guiding</w:t>
      </w:r>
      <w:r w:rsidR="00883178">
        <w:t xml:space="preserve"> </w:t>
      </w:r>
      <w:r w:rsidRPr="00376F57">
        <w:t>Principles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mitigate</w:t>
      </w:r>
      <w:r w:rsidR="00883178">
        <w:t xml:space="preserve"> </w:t>
      </w:r>
      <w:r w:rsidRPr="00376F57">
        <w:t>potential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activities,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investment</w:t>
      </w:r>
      <w:r w:rsidR="00883178">
        <w:t xml:space="preserve"> </w:t>
      </w:r>
      <w:r w:rsidRPr="00376F57">
        <w:t>projects,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291B0B1C" w14:textId="6D94EB93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2014,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decided,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26/9,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establish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open-ended</w:t>
      </w:r>
      <w:r w:rsidR="00883178">
        <w:t xml:space="preserve"> </w:t>
      </w:r>
      <w:r w:rsidRPr="00376F57">
        <w:t>intergovernmental</w:t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transnational</w:t>
      </w:r>
      <w:r w:rsidR="00883178">
        <w:t xml:space="preserve"> </w:t>
      </w:r>
      <w:r w:rsidRPr="00376F57">
        <w:t>corporations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whose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elaborate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legally</w:t>
      </w:r>
      <w:r w:rsidR="00883178">
        <w:t xml:space="preserve"> </w:t>
      </w:r>
      <w:r w:rsidRPr="00376F57">
        <w:t>binding</w:t>
      </w:r>
      <w:r w:rsidR="00883178">
        <w:t xml:space="preserve"> </w:t>
      </w:r>
      <w:r w:rsidRPr="00376F57">
        <w:t>instrument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regulate,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law,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activities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transnational</w:t>
      </w:r>
      <w:r w:rsidR="00883178">
        <w:t xml:space="preserve"> </w:t>
      </w:r>
      <w:r w:rsidRPr="00376F57">
        <w:t>corporations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enterprises.</w:t>
      </w:r>
    </w:p>
    <w:p w14:paraId="0D86034C" w14:textId="3919CACC" w:rsidR="00F36E7C" w:rsidRPr="00376F57" w:rsidRDefault="00600EAA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69393114" w14:textId="5FD77745" w:rsidR="00F36E7C" w:rsidRPr="00376F57" w:rsidRDefault="00F36E7C" w:rsidP="00600EAA">
      <w:pPr>
        <w:pStyle w:val="ParaNoG"/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explore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above-mentioned</w:t>
      </w:r>
      <w:r w:rsidR="00883178">
        <w:t xml:space="preserve"> </w:t>
      </w:r>
      <w:r w:rsidRPr="00376F57">
        <w:t>voluntary</w:t>
      </w:r>
      <w:r w:rsidR="00883178">
        <w:t xml:space="preserve"> </w:t>
      </w:r>
      <w:r w:rsidRPr="00376F57">
        <w:t>disclosure</w:t>
      </w:r>
      <w:r w:rsidR="00883178">
        <w:t xml:space="preserve"> </w:t>
      </w:r>
      <w:r w:rsidRPr="00376F57">
        <w:t>projects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determine</w:t>
      </w:r>
      <w:r w:rsidR="00883178">
        <w:t xml:space="preserve"> </w:t>
      </w:r>
      <w:r w:rsidRPr="00376F57">
        <w:t>whether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reporting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responsibility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corporations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lastRenderedPageBreak/>
        <w:t>their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consider</w:t>
      </w:r>
      <w:r w:rsidR="00883178">
        <w:t xml:space="preserve"> </w:t>
      </w:r>
      <w:r w:rsidRPr="00376F57">
        <w:t>whether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voluntary</w:t>
      </w:r>
      <w:r w:rsidR="00883178">
        <w:t xml:space="preserve"> </w:t>
      </w:r>
      <w:r w:rsidRPr="00376F57">
        <w:t>reporting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should</w:t>
      </w:r>
      <w:r w:rsidR="00883178">
        <w:t xml:space="preserve"> </w:t>
      </w:r>
      <w:r w:rsidRPr="00376F57">
        <w:t>become</w:t>
      </w:r>
      <w:r w:rsidR="00883178">
        <w:t xml:space="preserve"> </w:t>
      </w:r>
      <w:r w:rsidRPr="00376F57">
        <w:t>mandatory.</w:t>
      </w:r>
    </w:p>
    <w:p w14:paraId="521CCE7D" w14:textId="24E54C4A" w:rsidR="00F36E7C" w:rsidRPr="00376F57" w:rsidRDefault="00F36E7C" w:rsidP="00FE159F">
      <w:pPr>
        <w:pStyle w:val="H1G"/>
        <w:outlineLvl w:val="1"/>
      </w:pPr>
      <w:bookmarkStart w:id="15" w:name="_Toc104788994"/>
      <w:r w:rsidRPr="00376F57">
        <w:tab/>
        <w:t>E.</w:t>
      </w:r>
      <w:r w:rsidRPr="00376F57">
        <w:tab/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through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workers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bookmarkEnd w:id="15"/>
    </w:p>
    <w:p w14:paraId="362A85C6" w14:textId="47A3BB99" w:rsidR="00F36E7C" w:rsidRPr="00376F57" w:rsidRDefault="00F36E7C" w:rsidP="00F36E7C">
      <w:pPr>
        <w:pStyle w:val="ParaNoG"/>
      </w:pPr>
      <w:r w:rsidRPr="00376F57">
        <w:t>As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taken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reduce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world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reliance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fossil</w:t>
      </w:r>
      <w:r w:rsidR="00883178">
        <w:t xml:space="preserve"> </w:t>
      </w:r>
      <w:r w:rsidRPr="00376F57">
        <w:t>fuel,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need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provide</w:t>
      </w:r>
      <w:r w:rsidR="00883178">
        <w:t xml:space="preserve"> </w:t>
      </w:r>
      <w:r w:rsidRPr="00376F57">
        <w:t>opportunities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workers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185ADA25" w14:textId="0E4991BA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process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encompasses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set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principles,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practices</w:t>
      </w:r>
      <w:r w:rsidR="00883178">
        <w:t xml:space="preserve"> </w:t>
      </w:r>
      <w:r w:rsidRPr="00376F57">
        <w:t>aimed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ensuring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no</w:t>
      </w:r>
      <w:r w:rsidR="00883178">
        <w:t xml:space="preserve"> </w:t>
      </w:r>
      <w:r w:rsidRPr="00376F57">
        <w:t>people,</w:t>
      </w:r>
      <w:r w:rsidR="00883178">
        <w:t xml:space="preserve"> </w:t>
      </w:r>
      <w:r w:rsidRPr="00376F57">
        <w:t>workers,</w:t>
      </w:r>
      <w:r w:rsidR="00883178">
        <w:t xml:space="preserve"> </w:t>
      </w:r>
      <w:r w:rsidRPr="00376F57">
        <w:t>places,</w:t>
      </w:r>
      <w:r w:rsidR="00883178">
        <w:t xml:space="preserve"> </w:t>
      </w:r>
      <w:r w:rsidRPr="00376F57">
        <w:t>sectors,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regions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left</w:t>
      </w:r>
      <w:r w:rsidR="00883178">
        <w:t xml:space="preserve"> </w:t>
      </w:r>
      <w:r w:rsidRPr="00376F57">
        <w:t>behind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move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high-carbon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low-carbon</w:t>
      </w:r>
      <w:r w:rsidR="00883178">
        <w:t xml:space="preserve"> </w:t>
      </w:r>
      <w:r w:rsidRPr="00376F57">
        <w:t>economy.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includes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dignity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groups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situations.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should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provide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decent</w:t>
      </w:r>
      <w:r w:rsidR="00883178">
        <w:t xml:space="preserve"> </w:t>
      </w:r>
      <w:r w:rsidRPr="00376F57">
        <w:t>jobs,</w:t>
      </w:r>
      <w:r w:rsidR="00883178">
        <w:t xml:space="preserve"> </w:t>
      </w:r>
      <w:r w:rsidRPr="00376F57">
        <w:t>social</w:t>
      </w:r>
      <w:r w:rsidR="00883178">
        <w:t xml:space="preserve"> </w:t>
      </w:r>
      <w:r w:rsidRPr="00376F57">
        <w:t>protection,</w:t>
      </w:r>
      <w:r w:rsidR="00883178">
        <w:t xml:space="preserve"> </w:t>
      </w:r>
      <w:r w:rsidRPr="00376F57">
        <w:t>employment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fairness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energy</w:t>
      </w:r>
      <w:r w:rsidR="00883178">
        <w:t xml:space="preserve"> </w:t>
      </w:r>
      <w:r w:rsidRPr="00376F57">
        <w:t>access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use,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social</w:t>
      </w:r>
      <w:r w:rsidR="00883178">
        <w:t xml:space="preserve"> </w:t>
      </w:r>
      <w:r w:rsidRPr="00376F57">
        <w:t>dialogue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democratic</w:t>
      </w:r>
      <w:r w:rsidR="00883178">
        <w:t xml:space="preserve"> </w:t>
      </w:r>
      <w:r w:rsidRPr="00376F57">
        <w:t>consultation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relevant</w:t>
      </w:r>
      <w:r w:rsidR="00883178">
        <w:t xml:space="preserve"> </w:t>
      </w:r>
      <w:r w:rsidRPr="00376F57">
        <w:t>stakeholders.</w:t>
      </w:r>
    </w:p>
    <w:p w14:paraId="706F6F6A" w14:textId="76F3157F" w:rsidR="00F36E7C" w:rsidRPr="00376F57" w:rsidRDefault="00F36E7C" w:rsidP="00F36E7C">
      <w:pPr>
        <w:pStyle w:val="ParaNoG"/>
      </w:pPr>
      <w:r w:rsidRPr="00376F57">
        <w:t>Implicit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notions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well-being,</w:t>
      </w:r>
      <w:r w:rsidR="00883178">
        <w:t xml:space="preserve"> </w:t>
      </w:r>
      <w:r w:rsidRPr="00376F57">
        <w:t>equity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justice</w:t>
      </w:r>
      <w:r w:rsidR="00883178">
        <w:t xml:space="preserve"> </w:t>
      </w:r>
      <w:r w:rsidRPr="00376F57">
        <w:t>–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realization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transitions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inherently</w:t>
      </w:r>
      <w:r w:rsidR="00883178">
        <w:t xml:space="preserve"> </w:t>
      </w:r>
      <w:r w:rsidRPr="00376F57">
        <w:t>disruptive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deliberate</w:t>
      </w:r>
      <w:r w:rsidR="00883178">
        <w:t xml:space="preserve"> </w:t>
      </w:r>
      <w:r w:rsidRPr="00376F57">
        <w:t>effort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required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dependent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fossil-fuel</w:t>
      </w:r>
      <w:r w:rsidR="00883178">
        <w:t xml:space="preserve"> </w:t>
      </w:r>
      <w:r w:rsidRPr="00376F57">
        <w:t>based</w:t>
      </w:r>
      <w:r w:rsidR="00883178">
        <w:t xml:space="preserve"> </w:t>
      </w:r>
      <w:r w:rsidRPr="00376F57">
        <w:t>economies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do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suffer</w:t>
      </w:r>
      <w:r w:rsidR="00883178">
        <w:t xml:space="preserve"> </w:t>
      </w:r>
      <w:r w:rsidRPr="00376F57">
        <w:t>disproportionately.</w:t>
      </w:r>
    </w:p>
    <w:p w14:paraId="7E123BA0" w14:textId="4B46C80E" w:rsidR="00F36E7C" w:rsidRPr="00376F57" w:rsidRDefault="00F36E7C" w:rsidP="00F36E7C">
      <w:pPr>
        <w:pStyle w:val="ParaNoG"/>
      </w:pPr>
      <w:r w:rsidRPr="00376F57">
        <w:t>Proactive</w:t>
      </w:r>
      <w:r w:rsidR="00883178">
        <w:t xml:space="preserve"> </w:t>
      </w:r>
      <w:r w:rsidRPr="00376F57">
        <w:t>measures</w:t>
      </w:r>
      <w:r w:rsidR="00883178">
        <w:t xml:space="preserve"> </w:t>
      </w:r>
      <w:r w:rsidRPr="00376F57">
        <w:t>incorporated</w:t>
      </w:r>
      <w:r w:rsidR="00883178">
        <w:t xml:space="preserve"> </w:t>
      </w:r>
      <w:r w:rsidRPr="00376F57">
        <w:t>within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concept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include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eradication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poverty,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resilient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creation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jobs</w:t>
      </w:r>
      <w:r w:rsidR="00883178">
        <w:t xml:space="preserve"> </w:t>
      </w:r>
      <w:r w:rsidRPr="00376F57">
        <w:t>in</w:t>
      </w:r>
      <w:r w:rsidR="00883178">
        <w:t xml:space="preserve"> </w:t>
      </w:r>
      <w:r w:rsidR="00454838" w:rsidRPr="00376F57">
        <w:t>“</w:t>
      </w:r>
      <w:r w:rsidRPr="00376F57">
        <w:t>green</w:t>
      </w:r>
      <w:r w:rsidR="00454838" w:rsidRPr="00376F57">
        <w:t>”</w:t>
      </w:r>
      <w:r w:rsidR="00883178">
        <w:t xml:space="preserve"> </w:t>
      </w:r>
      <w:r w:rsidRPr="00376F57">
        <w:t>sectors.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addition,</w:t>
      </w:r>
      <w:r w:rsidR="00883178">
        <w:t xml:space="preserve"> </w:t>
      </w:r>
      <w:r w:rsidRPr="00376F57">
        <w:t>Governments,</w:t>
      </w:r>
      <w:r w:rsidR="00883178">
        <w:t xml:space="preserve"> </w:t>
      </w:r>
      <w:r w:rsidRPr="00376F57">
        <w:t>polluting</w:t>
      </w:r>
      <w:r w:rsidR="00883178">
        <w:t xml:space="preserve"> </w:t>
      </w:r>
      <w:r w:rsidRPr="00376F57">
        <w:t>industries,</w:t>
      </w:r>
      <w:r w:rsidR="00883178">
        <w:t xml:space="preserve"> </w:t>
      </w:r>
      <w:r w:rsidRPr="00376F57">
        <w:t>corporations,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those</w:t>
      </w:r>
      <w:r w:rsidR="00883178">
        <w:t xml:space="preserve"> </w:t>
      </w:r>
      <w:proofErr w:type="gramStart"/>
      <w:r w:rsidRPr="00376F57">
        <w:t>more</w:t>
      </w:r>
      <w:r w:rsidR="00883178">
        <w:t xml:space="preserve"> </w:t>
      </w:r>
      <w:r w:rsidRPr="00376F57">
        <w:t>able</w:t>
      </w:r>
      <w:proofErr w:type="gramEnd"/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pay</w:t>
      </w:r>
      <w:r w:rsidR="00883178">
        <w:t xml:space="preserve"> </w:t>
      </w:r>
      <w:r w:rsidRPr="00376F57">
        <w:t>higher</w:t>
      </w:r>
      <w:r w:rsidR="00883178">
        <w:t xml:space="preserve"> </w:t>
      </w:r>
      <w:r w:rsidRPr="00376F57">
        <w:t>associated</w:t>
      </w:r>
      <w:r w:rsidR="00883178">
        <w:t xml:space="preserve"> </w:t>
      </w:r>
      <w:r w:rsidRPr="00376F57">
        <w:t>taxes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pay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costs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providing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welfare</w:t>
      </w:r>
      <w:r w:rsidR="00883178">
        <w:t xml:space="preserve"> </w:t>
      </w:r>
      <w:r w:rsidRPr="00376F57">
        <w:t>safety</w:t>
      </w:r>
      <w:r w:rsidR="00883178">
        <w:t xml:space="preserve"> </w:t>
      </w:r>
      <w:r w:rsidRPr="00376F57">
        <w:t>net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compensation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people,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regions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pollution,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marginalized,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negatively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high-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low-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economy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society.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is,</w:t>
      </w:r>
      <w:r w:rsidR="00883178">
        <w:t xml:space="preserve"> </w:t>
      </w:r>
      <w:r w:rsidRPr="00376F57">
        <w:t>nonetheless,</w:t>
      </w:r>
      <w:r w:rsidR="00883178">
        <w:t xml:space="preserve"> </w:t>
      </w:r>
      <w:r w:rsidRPr="00376F57">
        <w:t>increased</w:t>
      </w:r>
      <w:r w:rsidR="00883178">
        <w:t xml:space="preserve"> </w:t>
      </w:r>
      <w:r w:rsidRPr="00376F57">
        <w:t>recognition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resources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enable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transition,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institutions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transitional</w:t>
      </w:r>
      <w:r w:rsidR="00883178">
        <w:t xml:space="preserve"> </w:t>
      </w:r>
      <w:r w:rsidRPr="00376F57">
        <w:t>drivers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tools,</w:t>
      </w:r>
      <w:r w:rsidR="00883178">
        <w:t xml:space="preserve"> </w:t>
      </w:r>
      <w:r w:rsidRPr="00376F57">
        <w:t>strategies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finance,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scarce.</w:t>
      </w:r>
      <w:r w:rsidR="00883178">
        <w:t xml:space="preserve"> </w:t>
      </w:r>
    </w:p>
    <w:p w14:paraId="1C866EBA" w14:textId="761C75FF" w:rsidR="00F36E7C" w:rsidRPr="00376F57" w:rsidRDefault="00F36E7C" w:rsidP="00F36E7C">
      <w:pPr>
        <w:pStyle w:val="ParaNoG"/>
        <w:rPr>
          <w:shd w:val="clear" w:color="auto" w:fill="FFFFFF"/>
        </w:rPr>
      </w:pPr>
      <w:r w:rsidRPr="00376F57">
        <w:rPr>
          <w:shd w:val="clear" w:color="auto" w:fill="FFFFFF"/>
        </w:rPr>
        <w:t>Initiatives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have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been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undertaken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address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workers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2015,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International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Labour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Organization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(ILO)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released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rPr>
          <w:bCs/>
        </w:rPr>
        <w:t>guidelines</w:t>
      </w:r>
      <w:r w:rsidR="00883178">
        <w:rPr>
          <w:bCs/>
        </w:rPr>
        <w:t xml:space="preserve"> </w:t>
      </w:r>
      <w:r w:rsidRPr="00376F57">
        <w:rPr>
          <w:bCs/>
        </w:rPr>
        <w:t>for</w:t>
      </w:r>
      <w:r w:rsidR="00883178">
        <w:rPr>
          <w:bCs/>
        </w:rPr>
        <w:t xml:space="preserve"> </w:t>
      </w:r>
      <w:r w:rsidRPr="00376F57">
        <w:rPr>
          <w:bCs/>
        </w:rPr>
        <w:t>a</w:t>
      </w:r>
      <w:r w:rsidR="00883178">
        <w:rPr>
          <w:bCs/>
        </w:rPr>
        <w:t xml:space="preserve"> </w:t>
      </w:r>
      <w:r w:rsidRPr="00376F57">
        <w:rPr>
          <w:bCs/>
        </w:rPr>
        <w:t>just</w:t>
      </w:r>
      <w:r w:rsidR="00883178">
        <w:rPr>
          <w:bCs/>
        </w:rPr>
        <w:t xml:space="preserve"> </w:t>
      </w:r>
      <w:r w:rsidRPr="00376F57">
        <w:rPr>
          <w:bCs/>
        </w:rPr>
        <w:t>transition</w:t>
      </w:r>
      <w:r w:rsidR="00883178">
        <w:rPr>
          <w:bCs/>
        </w:rPr>
        <w:t xml:space="preserve"> </w:t>
      </w:r>
      <w:r w:rsidRPr="00376F57">
        <w:rPr>
          <w:bCs/>
        </w:rPr>
        <w:t>towards</w:t>
      </w:r>
      <w:r w:rsidR="00883178">
        <w:rPr>
          <w:bCs/>
        </w:rPr>
        <w:t xml:space="preserve"> </w:t>
      </w:r>
      <w:r w:rsidRPr="00376F57">
        <w:rPr>
          <w:bCs/>
        </w:rPr>
        <w:t>environmentally</w:t>
      </w:r>
      <w:r w:rsidR="00883178">
        <w:rPr>
          <w:bCs/>
        </w:rPr>
        <w:t xml:space="preserve"> </w:t>
      </w:r>
      <w:r w:rsidRPr="00376F57">
        <w:rPr>
          <w:bCs/>
        </w:rPr>
        <w:t>sustainable</w:t>
      </w:r>
      <w:r w:rsidR="00883178">
        <w:rPr>
          <w:bCs/>
        </w:rPr>
        <w:t xml:space="preserve"> </w:t>
      </w:r>
      <w:r w:rsidRPr="00376F57">
        <w:rPr>
          <w:bCs/>
        </w:rPr>
        <w:t>economies</w:t>
      </w:r>
      <w:r w:rsidR="00883178">
        <w:rPr>
          <w:bCs/>
        </w:rPr>
        <w:t xml:space="preserve"> </w:t>
      </w:r>
      <w:r w:rsidRPr="00376F57">
        <w:rPr>
          <w:bCs/>
        </w:rPr>
        <w:t>and</w:t>
      </w:r>
      <w:r w:rsidR="00883178">
        <w:t xml:space="preserve"> </w:t>
      </w:r>
      <w:r w:rsidRPr="00376F57">
        <w:t>societies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all,</w:t>
      </w:r>
      <w:r w:rsidRPr="00376F57">
        <w:rPr>
          <w:rStyle w:val="FootnoteReference"/>
        </w:rPr>
        <w:footnoteReference w:id="21"/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which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were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decided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between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Governments,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employers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their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organizations,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workers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their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trade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unions.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guidelines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were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both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policy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framework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practical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tool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help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countries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all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levels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development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manage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transition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low-carbon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economies.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were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also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useful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helping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countries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t>achieve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what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were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called</w:t>
      </w:r>
      <w:r w:rsidR="00883178">
        <w:rPr>
          <w:shd w:val="clear" w:color="auto" w:fill="FFFFFF"/>
        </w:rPr>
        <w:t xml:space="preserve"> </w:t>
      </w:r>
      <w:r w:rsidR="00454838" w:rsidRPr="00376F57">
        <w:rPr>
          <w:shd w:val="clear" w:color="auto" w:fill="FFFFFF"/>
        </w:rPr>
        <w:t>“</w:t>
      </w:r>
      <w:r w:rsidRPr="00376F57">
        <w:rPr>
          <w:shd w:val="clear" w:color="auto" w:fill="FFFFFF"/>
        </w:rPr>
        <w:t>intended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nationally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determined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contributions</w:t>
      </w:r>
      <w:r w:rsidR="00454838" w:rsidRPr="00376F57">
        <w:rPr>
          <w:shd w:val="clear" w:color="auto" w:fill="FFFFFF"/>
        </w:rPr>
        <w:t>”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meet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relevant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targets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of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Sustainable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Development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Goals.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Following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rFonts w:eastAsia="Calibri"/>
        </w:rPr>
        <w:t>twenty-sixth</w:t>
      </w:r>
      <w:r w:rsidR="00883178">
        <w:rPr>
          <w:rFonts w:eastAsia="Calibri"/>
        </w:rPr>
        <w:t xml:space="preserve"> </w:t>
      </w:r>
      <w:r w:rsidRPr="00376F57">
        <w:t>Conference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Parties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Glasgow,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the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International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Trade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Union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Confederation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called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for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immediate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start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to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talks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with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workers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and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communities,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aimed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at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producing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just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transition</w:t>
      </w:r>
      <w:r w:rsidR="00883178">
        <w:rPr>
          <w:shd w:val="clear" w:color="auto" w:fill="FFFFFF"/>
        </w:rPr>
        <w:t xml:space="preserve"> </w:t>
      </w:r>
      <w:r w:rsidRPr="00376F57">
        <w:rPr>
          <w:shd w:val="clear" w:color="auto" w:fill="FFFFFF"/>
        </w:rPr>
        <w:t>plans.</w:t>
      </w:r>
    </w:p>
    <w:p w14:paraId="6C5283F3" w14:textId="19D8996E" w:rsidR="00F36E7C" w:rsidRPr="00376F57" w:rsidRDefault="00A65462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349CEBD4" w14:textId="13AB945A" w:rsidR="00F36E7C" w:rsidRPr="00376F57" w:rsidRDefault="00F36E7C" w:rsidP="00F36E7C">
      <w:pPr>
        <w:pStyle w:val="ParaNoG"/>
        <w:rPr>
          <w:color w:val="141414"/>
        </w:rPr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will:</w:t>
      </w:r>
    </w:p>
    <w:p w14:paraId="030FE2E2" w14:textId="3EDC4CAC" w:rsidR="00F36E7C" w:rsidRPr="00376F57" w:rsidRDefault="00F36E7C" w:rsidP="00600EAA">
      <w:pPr>
        <w:pStyle w:val="SingleTxtG"/>
      </w:pPr>
      <w:r w:rsidRPr="00376F57">
        <w:tab/>
        <w:t>(a)</w:t>
      </w:r>
      <w:r w:rsidRPr="00376F57">
        <w:tab/>
        <w:t>Work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ILO,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rPr>
          <w:color w:val="000000" w:themeColor="text1"/>
          <w:shd w:val="clear" w:color="auto" w:fill="FFFFFF"/>
        </w:rPr>
        <w:t>International</w:t>
      </w:r>
      <w:r w:rsidR="00883178">
        <w:rPr>
          <w:color w:val="000000" w:themeColor="text1"/>
          <w:shd w:val="clear" w:color="auto" w:fill="FFFFFF"/>
        </w:rPr>
        <w:t xml:space="preserve"> </w:t>
      </w:r>
      <w:r w:rsidRPr="00376F57">
        <w:rPr>
          <w:color w:val="000000" w:themeColor="text1"/>
          <w:shd w:val="clear" w:color="auto" w:fill="FFFFFF"/>
        </w:rPr>
        <w:t>Trade</w:t>
      </w:r>
      <w:r w:rsidR="00883178">
        <w:rPr>
          <w:color w:val="000000" w:themeColor="text1"/>
          <w:shd w:val="clear" w:color="auto" w:fill="FFFFFF"/>
        </w:rPr>
        <w:t xml:space="preserve"> </w:t>
      </w:r>
      <w:r w:rsidRPr="00376F57">
        <w:rPr>
          <w:color w:val="000000" w:themeColor="text1"/>
          <w:shd w:val="clear" w:color="auto" w:fill="FFFFFF"/>
        </w:rPr>
        <w:t>Union</w:t>
      </w:r>
      <w:r w:rsidR="00883178">
        <w:rPr>
          <w:color w:val="000000" w:themeColor="text1"/>
          <w:shd w:val="clear" w:color="auto" w:fill="FFFFFF"/>
        </w:rPr>
        <w:t xml:space="preserve"> </w:t>
      </w:r>
      <w:r w:rsidRPr="00376F57">
        <w:rPr>
          <w:color w:val="000000" w:themeColor="text1"/>
          <w:shd w:val="clear" w:color="auto" w:fill="FFFFFF"/>
        </w:rPr>
        <w:t>Confederation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interested</w:t>
      </w:r>
      <w:r w:rsidR="00883178">
        <w:t xml:space="preserve"> </w:t>
      </w:r>
      <w:r w:rsidRPr="00376F57">
        <w:t>groups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organizations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incorporated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government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enterprises;</w:t>
      </w:r>
    </w:p>
    <w:p w14:paraId="137FBACA" w14:textId="72B975A3" w:rsidR="00F36E7C" w:rsidRPr="00376F57" w:rsidRDefault="00F36E7C" w:rsidP="00600EAA">
      <w:pPr>
        <w:pStyle w:val="SingleTxtG"/>
      </w:pPr>
      <w:r w:rsidRPr="00376F57">
        <w:tab/>
        <w:t>(b)</w:t>
      </w:r>
      <w:r w:rsidRPr="00376F57">
        <w:tab/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fifty-first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step</w:t>
      </w:r>
      <w:r w:rsidR="00883178">
        <w:t xml:space="preserve"> </w:t>
      </w:r>
      <w:r w:rsidRPr="00376F57">
        <w:t>under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theme,</w:t>
      </w:r>
      <w:r w:rsidR="00883178">
        <w:t xml:space="preserve"> </w:t>
      </w:r>
      <w:r w:rsidRPr="00376F57">
        <w:t>participate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panel</w:t>
      </w:r>
      <w:r w:rsidR="00883178">
        <w:t xml:space="preserve"> </w:t>
      </w:r>
      <w:r w:rsidRPr="00376F57">
        <w:t>discussion,</w:t>
      </w:r>
      <w:r w:rsidR="00883178">
        <w:t xml:space="preserve"> </w:t>
      </w:r>
      <w:r w:rsidRPr="00376F57">
        <w:t>requested</w:t>
      </w:r>
      <w:r w:rsidR="00883178">
        <w:t xml:space="preserve"> </w:t>
      </w:r>
      <w:r w:rsidRPr="00376F57">
        <w:t>pursuant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49/11,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future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connection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actions,</w:t>
      </w:r>
      <w:r w:rsidR="00883178">
        <w:t xml:space="preserve"> </w:t>
      </w:r>
      <w:r w:rsidRPr="00376F57">
        <w:t>responses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inclusive</w:t>
      </w:r>
      <w:r w:rsidR="00883178">
        <w:t xml:space="preserve"> </w:t>
      </w:r>
      <w:r w:rsidRPr="00376F57">
        <w:t>economies.</w:t>
      </w:r>
    </w:p>
    <w:p w14:paraId="262DA430" w14:textId="0436B8A1" w:rsidR="00F36E7C" w:rsidRPr="00376F57" w:rsidRDefault="00F36E7C" w:rsidP="00FE159F">
      <w:pPr>
        <w:pStyle w:val="H1G"/>
        <w:outlineLvl w:val="1"/>
      </w:pPr>
      <w:bookmarkStart w:id="16" w:name="_Toc104788995"/>
      <w:r w:rsidRPr="00376F57">
        <w:lastRenderedPageBreak/>
        <w:tab/>
        <w:t>F.</w:t>
      </w:r>
      <w:r w:rsidRPr="00376F57">
        <w:tab/>
        <w:t>Exploration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associated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mitigation</w:t>
      </w:r>
      <w:bookmarkEnd w:id="16"/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</w:p>
    <w:p w14:paraId="400096E3" w14:textId="4FC73736" w:rsidR="00F36E7C" w:rsidRPr="00376F57" w:rsidRDefault="00F36E7C" w:rsidP="00F36E7C">
      <w:pPr>
        <w:pStyle w:val="ParaNoG"/>
        <w:rPr>
          <w:shd w:val="clear" w:color="auto" w:fill="FCFCFC"/>
        </w:rPr>
      </w:pPr>
      <w:r w:rsidRPr="00376F57">
        <w:t>In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effort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reduce</w:t>
      </w:r>
      <w:r w:rsidR="00883178">
        <w:t xml:space="preserve"> </w:t>
      </w:r>
      <w:r w:rsidRPr="00376F57">
        <w:t>greenhouse</w:t>
      </w:r>
      <w:r w:rsidR="00883178">
        <w:t xml:space="preserve"> </w:t>
      </w:r>
      <w:r w:rsidRPr="00376F57">
        <w:t>gas</w:t>
      </w:r>
      <w:r w:rsidR="00883178">
        <w:t xml:space="preserve"> </w:t>
      </w:r>
      <w:r w:rsidRPr="00376F57">
        <w:t>emissions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ameliorate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various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proposed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being</w:t>
      </w:r>
      <w:r w:rsidR="00883178">
        <w:t xml:space="preserve"> </w:t>
      </w:r>
      <w:r w:rsidRPr="00376F57">
        <w:t>explored.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close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commercial</w:t>
      </w:r>
      <w:r w:rsidR="00883178">
        <w:t xml:space="preserve"> </w:t>
      </w:r>
      <w:r w:rsidRPr="00376F57">
        <w:t>viability.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come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variety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forms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include</w:t>
      </w:r>
      <w:r w:rsidR="00883178">
        <w:t xml:space="preserve"> </w:t>
      </w:r>
      <w:r w:rsidRPr="00376F57">
        <w:t>carbon</w:t>
      </w:r>
      <w:r w:rsidR="00883178">
        <w:t xml:space="preserve"> </w:t>
      </w:r>
      <w:r w:rsidRPr="00376F57">
        <w:t>dioxide</w:t>
      </w:r>
      <w:r w:rsidR="00883178">
        <w:t xml:space="preserve"> </w:t>
      </w:r>
      <w:r w:rsidRPr="00376F57">
        <w:t>(CO</w:t>
      </w:r>
      <w:r w:rsidRPr="00376F57">
        <w:rPr>
          <w:vertAlign w:val="subscript"/>
        </w:rPr>
        <w:t>2</w:t>
      </w:r>
      <w:r w:rsidRPr="00376F57">
        <w:t>)</w:t>
      </w:r>
      <w:r w:rsidR="00883178">
        <w:t xml:space="preserve"> </w:t>
      </w:r>
      <w:r w:rsidRPr="00376F57">
        <w:t>removal,</w:t>
      </w:r>
      <w:r w:rsidR="00883178">
        <w:t xml:space="preserve"> </w:t>
      </w:r>
      <w:r w:rsidRPr="00376F57">
        <w:rPr>
          <w:shd w:val="clear" w:color="auto" w:fill="FCFCFC"/>
        </w:rPr>
        <w:t>stratospheric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aerosol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injection,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marine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cloud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brightening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and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use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of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various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metals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for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storage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of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electricity.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Each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of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technologies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has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potential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negative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impacts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on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enjoyment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of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human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rights.</w:t>
      </w:r>
    </w:p>
    <w:p w14:paraId="71A946F2" w14:textId="06C1F083" w:rsidR="00F36E7C" w:rsidRPr="00376F57" w:rsidRDefault="00F36E7C" w:rsidP="00F36E7C">
      <w:pPr>
        <w:pStyle w:val="ParaNoG"/>
      </w:pPr>
      <w:r w:rsidRPr="00376F57">
        <w:rPr>
          <w:shd w:val="clear" w:color="auto" w:fill="FCFCFC"/>
        </w:rPr>
        <w:t>In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Sixth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Assessment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Report,</w:t>
      </w:r>
      <w:r w:rsidRPr="00376F57">
        <w:rPr>
          <w:rStyle w:val="FootnoteReference"/>
        </w:rPr>
        <w:footnoteReference w:id="22"/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Working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Group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III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gave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considerable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weight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to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the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use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of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carbon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dioxide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removal.</w:t>
      </w:r>
      <w:r w:rsidR="00883178">
        <w:rPr>
          <w:shd w:val="clear" w:color="auto" w:fill="FCFCFC"/>
        </w:rPr>
        <w:t xml:space="preserve"> </w:t>
      </w:r>
      <w:r w:rsidRPr="00376F57">
        <w:t>Carbon</w:t>
      </w:r>
      <w:r w:rsidR="00883178">
        <w:t xml:space="preserve"> </w:t>
      </w:r>
      <w:r w:rsidRPr="00376F57">
        <w:t>dioxide</w:t>
      </w:r>
      <w:r w:rsidR="00883178">
        <w:t xml:space="preserve"> </w:t>
      </w:r>
      <w:r w:rsidRPr="00376F57">
        <w:t>removal</w:t>
      </w:r>
      <w:r w:rsidR="00883178">
        <w:t xml:space="preserve"> </w:t>
      </w:r>
      <w:r w:rsidRPr="00376F57">
        <w:t>refers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anthropogenic</w:t>
      </w:r>
      <w:r w:rsidR="00883178">
        <w:t xml:space="preserve"> </w:t>
      </w:r>
      <w:r w:rsidRPr="00376F57">
        <w:t>activities</w:t>
      </w:r>
      <w:r w:rsidR="00883178">
        <w:t xml:space="preserve"> </w:t>
      </w:r>
      <w:r w:rsidRPr="00376F57">
        <w:t>removing</w:t>
      </w:r>
      <w:r w:rsidR="00883178">
        <w:t xml:space="preserve"> </w:t>
      </w:r>
      <w:r w:rsidRPr="00376F57">
        <w:t>CO</w:t>
      </w:r>
      <w:r w:rsidRPr="00376F57">
        <w:rPr>
          <w:position w:val="-2"/>
        </w:rPr>
        <w:t>2</w:t>
      </w:r>
      <w:r w:rsidR="00883178">
        <w:rPr>
          <w:i/>
          <w:iCs/>
          <w:position w:val="-2"/>
        </w:rPr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atmosphere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durably</w:t>
      </w:r>
      <w:r w:rsidR="00883178">
        <w:t xml:space="preserve"> </w:t>
      </w:r>
      <w:r w:rsidRPr="00376F57">
        <w:t>storing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geological,</w:t>
      </w:r>
      <w:r w:rsidR="00883178">
        <w:t xml:space="preserve"> </w:t>
      </w:r>
      <w:r w:rsidRPr="00376F57">
        <w:t>terrestrial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ocean</w:t>
      </w:r>
      <w:r w:rsidR="00883178">
        <w:t xml:space="preserve"> </w:t>
      </w:r>
      <w:r w:rsidRPr="00376F57">
        <w:t>reservoirs,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products.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includes</w:t>
      </w:r>
      <w:r w:rsidR="00883178">
        <w:t xml:space="preserve"> </w:t>
      </w:r>
      <w:r w:rsidRPr="00376F57">
        <w:t>existing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potential</w:t>
      </w:r>
      <w:r w:rsidR="00883178">
        <w:t xml:space="preserve"> </w:t>
      </w:r>
      <w:r w:rsidRPr="00376F57">
        <w:t>anthropogenic</w:t>
      </w:r>
      <w:r w:rsidR="00883178">
        <w:t xml:space="preserve"> </w:t>
      </w:r>
      <w:r w:rsidRPr="00376F57">
        <w:t>enhancement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biological,</w:t>
      </w:r>
      <w:r w:rsidR="00883178">
        <w:t xml:space="preserve"> </w:t>
      </w:r>
      <w:r w:rsidRPr="00376F57">
        <w:t>geochemical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chemical</w:t>
      </w:r>
      <w:r w:rsidR="00883178">
        <w:t xml:space="preserve"> </w:t>
      </w:r>
      <w:r w:rsidRPr="00376F57">
        <w:t>CO</w:t>
      </w:r>
      <w:r w:rsidRPr="00376F57">
        <w:rPr>
          <w:position w:val="-2"/>
        </w:rPr>
        <w:t>2</w:t>
      </w:r>
      <w:r w:rsidR="00883178">
        <w:rPr>
          <w:position w:val="-2"/>
        </w:rPr>
        <w:t xml:space="preserve"> </w:t>
      </w:r>
      <w:r w:rsidRPr="00376F57">
        <w:t>sinks,</w:t>
      </w:r>
      <w:r w:rsidR="00883178">
        <w:t xml:space="preserve"> </w:t>
      </w:r>
      <w:r w:rsidRPr="00376F57">
        <w:t>but</w:t>
      </w:r>
      <w:r w:rsidR="00883178">
        <w:t xml:space="preserve"> </w:t>
      </w:r>
      <w:r w:rsidRPr="00376F57">
        <w:t>excludes</w:t>
      </w:r>
      <w:r w:rsidR="00883178">
        <w:t xml:space="preserve"> </w:t>
      </w:r>
      <w:r w:rsidRPr="00376F57">
        <w:t>natural</w:t>
      </w:r>
      <w:r w:rsidR="00883178">
        <w:t xml:space="preserve"> </w:t>
      </w:r>
      <w:r w:rsidRPr="00376F57">
        <w:t>CO</w:t>
      </w:r>
      <w:r w:rsidRPr="00376F57">
        <w:rPr>
          <w:position w:val="-2"/>
        </w:rPr>
        <w:t>2</w:t>
      </w:r>
      <w:r w:rsidR="00883178">
        <w:rPr>
          <w:position w:val="-2"/>
        </w:rPr>
        <w:t xml:space="preserve"> </w:t>
      </w:r>
      <w:r w:rsidRPr="00376F57">
        <w:t>uptake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directly</w:t>
      </w:r>
      <w:r w:rsidR="00883178">
        <w:t xml:space="preserve"> </w:t>
      </w:r>
      <w:r w:rsidRPr="00376F57">
        <w:t>caused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rPr>
          <w:shd w:val="clear" w:color="auto" w:fill="FCFCFC"/>
        </w:rPr>
        <w:t>activities</w:t>
      </w:r>
      <w:r w:rsidRPr="00376F57">
        <w:t>.</w:t>
      </w:r>
      <w:r w:rsidR="00883178">
        <w:t xml:space="preserve"> </w:t>
      </w:r>
      <w:r w:rsidRPr="00376F57">
        <w:t>S</w:t>
      </w:r>
      <w:r w:rsidRPr="00376F57">
        <w:rPr>
          <w:shd w:val="clear" w:color="auto" w:fill="FCFCFC"/>
        </w:rPr>
        <w:t>tratospheric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aerosol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injection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rPr>
          <w:shd w:val="clear" w:color="auto" w:fill="FCFCFC"/>
        </w:rPr>
        <w:t>marine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cloud</w:t>
      </w:r>
      <w:r w:rsidR="00883178">
        <w:rPr>
          <w:shd w:val="clear" w:color="auto" w:fill="FCFCFC"/>
        </w:rPr>
        <w:t xml:space="preserve"> </w:t>
      </w:r>
      <w:r w:rsidRPr="00376F57">
        <w:rPr>
          <w:shd w:val="clear" w:color="auto" w:fill="FCFCFC"/>
        </w:rPr>
        <w:t>brightening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aim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reflect</w:t>
      </w:r>
      <w:r w:rsidR="00883178">
        <w:t xml:space="preserve"> </w:t>
      </w:r>
      <w:r w:rsidRPr="00376F57">
        <w:t>sunlight</w:t>
      </w:r>
      <w:r w:rsidR="00883178">
        <w:t xml:space="preserve"> </w:t>
      </w:r>
      <w:r w:rsidRPr="00376F57">
        <w:t>away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Earth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means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reducing</w:t>
      </w:r>
      <w:r w:rsidR="00883178">
        <w:t xml:space="preserve"> </w:t>
      </w:r>
      <w:r w:rsidRPr="00376F57">
        <w:t>rising</w:t>
      </w:r>
      <w:r w:rsidR="00883178">
        <w:t xml:space="preserve"> </w:t>
      </w:r>
      <w:r w:rsidRPr="00376F57">
        <w:t>temperatures.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mining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lithium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extraction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manganese</w:t>
      </w:r>
      <w:r w:rsidR="00883178">
        <w:t xml:space="preserve"> </w:t>
      </w:r>
      <w:r w:rsidRPr="00376F57">
        <w:t>nodules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ocean</w:t>
      </w:r>
      <w:r w:rsidR="00883178">
        <w:t xml:space="preserve"> </w:t>
      </w:r>
      <w:r w:rsidRPr="00376F57">
        <w:t>floor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additional</w:t>
      </w:r>
      <w:r w:rsidR="00883178">
        <w:t xml:space="preserve"> </w:t>
      </w:r>
      <w:r w:rsidRPr="00376F57">
        <w:t>technological</w:t>
      </w:r>
      <w:r w:rsidR="00883178">
        <w:t xml:space="preserve"> </w:t>
      </w:r>
      <w:r w:rsidRPr="00376F57">
        <w:t>processes</w:t>
      </w:r>
      <w:r w:rsidR="00883178">
        <w:t xml:space="preserve"> </w:t>
      </w:r>
      <w:r w:rsidRPr="00376F57">
        <w:t>within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category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mitigation.</w:t>
      </w:r>
      <w:r w:rsidR="00883178">
        <w:t xml:space="preserve"> </w:t>
      </w:r>
      <w:r w:rsidRPr="00376F57">
        <w:t>Each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technologies,</w:t>
      </w:r>
      <w:r w:rsidR="00883178">
        <w:t xml:space="preserve"> </w:t>
      </w:r>
      <w:r w:rsidRPr="00376F57">
        <w:t>however,</w:t>
      </w:r>
      <w:r w:rsidR="00883178">
        <w:t xml:space="preserve"> </w:t>
      </w:r>
      <w:r w:rsidRPr="00376F57">
        <w:t>either</w:t>
      </w:r>
      <w:r w:rsidR="00883178">
        <w:t xml:space="preserve"> </w:t>
      </w:r>
      <w:r w:rsidRPr="00376F57">
        <w:t>currently</w:t>
      </w:r>
      <w:r w:rsidR="00883178">
        <w:t xml:space="preserve"> </w:t>
      </w:r>
      <w:r w:rsidRPr="00376F57">
        <w:t>contributes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infringement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potential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infringe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individuals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communities.</w:t>
      </w:r>
    </w:p>
    <w:p w14:paraId="0613B2DF" w14:textId="05DC34D3" w:rsidR="00F36E7C" w:rsidRPr="00376F57" w:rsidRDefault="00600EAA" w:rsidP="00FE159F">
      <w:pPr>
        <w:pStyle w:val="H4G"/>
        <w:outlineLvl w:val="3"/>
      </w:pPr>
      <w:r w:rsidRPr="00376F57"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3CC1B95A" w14:textId="65E4E3DA" w:rsidR="00F36E7C" w:rsidRPr="00376F57" w:rsidRDefault="00F36E7C" w:rsidP="00F36E7C">
      <w:pPr>
        <w:pStyle w:val="ParaNoG"/>
        <w:rPr>
          <w:color w:val="141414"/>
        </w:rPr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will:</w:t>
      </w:r>
    </w:p>
    <w:p w14:paraId="6EF08F34" w14:textId="5D785B2D" w:rsidR="00F36E7C" w:rsidRPr="00376F57" w:rsidRDefault="00F36E7C" w:rsidP="003929FC">
      <w:pPr>
        <w:pStyle w:val="SingleTxtG"/>
      </w:pPr>
      <w:r w:rsidRPr="00376F57">
        <w:tab/>
        <w:t>(a)</w:t>
      </w:r>
      <w:r w:rsidRPr="00376F57">
        <w:tab/>
        <w:t>In</w:t>
      </w:r>
      <w:r w:rsidR="00883178">
        <w:t xml:space="preserve"> </w:t>
      </w:r>
      <w:r w:rsidRPr="00376F57">
        <w:t>accordance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6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Advisory</w:t>
      </w:r>
      <w:r w:rsidR="00883178">
        <w:t xml:space="preserve"> </w:t>
      </w:r>
      <w:r w:rsidRPr="00376F57">
        <w:t>Committee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conduct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study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prepare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submit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Council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fifty-fourth</w:t>
      </w:r>
      <w:r w:rsidR="00883178">
        <w:t xml:space="preserve"> </w:t>
      </w:r>
      <w:r w:rsidRPr="00376F57">
        <w:t>session;</w:t>
      </w:r>
    </w:p>
    <w:p w14:paraId="1DB2B21B" w14:textId="0C70B21D" w:rsidR="00F36E7C" w:rsidRPr="00376F57" w:rsidRDefault="00F36E7C" w:rsidP="003929FC">
      <w:pPr>
        <w:pStyle w:val="SingleTxtG"/>
      </w:pPr>
      <w:r w:rsidRPr="00376F57">
        <w:tab/>
        <w:t>(b)</w:t>
      </w:r>
      <w:r w:rsidRPr="00376F57">
        <w:tab/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basis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conclusions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Advisory</w:t>
      </w:r>
      <w:r w:rsidR="00883178">
        <w:t xml:space="preserve"> </w:t>
      </w:r>
      <w:r w:rsidRPr="00376F57">
        <w:t>Committee,</w:t>
      </w:r>
      <w:r w:rsidR="00883178">
        <w:t xml:space="preserve"> </w:t>
      </w:r>
      <w:r w:rsidRPr="00376F57">
        <w:t>develop</w:t>
      </w:r>
      <w:r w:rsidR="00883178">
        <w:t xml:space="preserve"> </w:t>
      </w:r>
      <w:r w:rsidRPr="00376F57">
        <w:t>materials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advance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regulatory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ensuring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new</w:t>
      </w:r>
      <w:r w:rsidR="00883178">
        <w:t xml:space="preserve"> </w:t>
      </w:r>
      <w:r w:rsidRPr="00376F57">
        <w:t>technologies</w:t>
      </w:r>
      <w:r w:rsidR="00883178">
        <w:t xml:space="preserve"> </w:t>
      </w:r>
      <w:r w:rsidRPr="00376F57">
        <w:t>do</w:t>
      </w:r>
      <w:r w:rsidR="00883178">
        <w:t xml:space="preserve"> </w:t>
      </w:r>
      <w:r w:rsidRPr="00376F57">
        <w:t>not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impacts.</w:t>
      </w:r>
    </w:p>
    <w:p w14:paraId="6B678528" w14:textId="06F9D30B" w:rsidR="00F36E7C" w:rsidRPr="00376F57" w:rsidRDefault="00F36E7C" w:rsidP="00FE159F">
      <w:pPr>
        <w:pStyle w:val="HChG"/>
        <w:outlineLvl w:val="0"/>
      </w:pPr>
      <w:bookmarkStart w:id="17" w:name="_Toc104788996"/>
      <w:r w:rsidRPr="00376F57">
        <w:tab/>
        <w:t>V.</w:t>
      </w:r>
      <w:r w:rsidRPr="00376F57">
        <w:tab/>
      </w:r>
      <w:r w:rsidRPr="00376F57">
        <w:tab/>
        <w:t>Participation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inclusion</w:t>
      </w:r>
      <w:bookmarkEnd w:id="17"/>
    </w:p>
    <w:p w14:paraId="7D6C3714" w14:textId="596FE9F5" w:rsidR="00F36E7C" w:rsidRPr="00376F57" w:rsidRDefault="00F36E7C" w:rsidP="00F36E7C">
      <w:pPr>
        <w:pStyle w:val="ParaNoG"/>
      </w:pPr>
      <w:r w:rsidRPr="00376F57">
        <w:t>For</w:t>
      </w:r>
      <w:r w:rsidR="00883178">
        <w:t xml:space="preserve"> </w:t>
      </w:r>
      <w:r w:rsidRPr="00376F57">
        <w:t>each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issues</w:t>
      </w:r>
      <w:r w:rsidR="00883178">
        <w:t xml:space="preserve"> </w:t>
      </w:r>
      <w:r w:rsidRPr="00376F57">
        <w:t>considered</w:t>
      </w:r>
      <w:r w:rsidR="00883178">
        <w:t xml:space="preserve"> </w:t>
      </w:r>
      <w:r w:rsidRPr="00376F57">
        <w:t>above,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critical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ensure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there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voice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rights-holders,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whose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processes.</w:t>
      </w:r>
      <w:r w:rsidR="00883178">
        <w:t xml:space="preserve"> </w:t>
      </w:r>
      <w:r w:rsidRPr="00376F57">
        <w:t>Pursuant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(k)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integrate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gender-responsive,</w:t>
      </w:r>
      <w:r w:rsidR="00883178">
        <w:t xml:space="preserve"> </w:t>
      </w:r>
      <w:r w:rsidRPr="00376F57">
        <w:t>age-sensitive,</w:t>
      </w:r>
      <w:r w:rsidR="00883178">
        <w:t xml:space="preserve"> </w:t>
      </w:r>
      <w:r w:rsidRPr="00376F57">
        <w:t>disability</w:t>
      </w:r>
      <w:r w:rsidR="00883178">
        <w:t xml:space="preserve"> </w:t>
      </w:r>
      <w:r w:rsidRPr="00376F57">
        <w:t>inclusive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social-inclusion</w:t>
      </w:r>
      <w:r w:rsidR="00883178">
        <w:t xml:space="preserve"> </w:t>
      </w:r>
      <w:r w:rsidRPr="00376F57">
        <w:t>perspective</w:t>
      </w:r>
      <w:r w:rsidR="00883178">
        <w:t xml:space="preserve"> </w:t>
      </w:r>
      <w:r w:rsidRPr="00376F57">
        <w:t>throughout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mandate.</w:t>
      </w:r>
    </w:p>
    <w:p w14:paraId="3B89FBAB" w14:textId="33D86052" w:rsidR="00F36E7C" w:rsidRPr="00376F57" w:rsidRDefault="00F36E7C" w:rsidP="00F36E7C">
      <w:pPr>
        <w:pStyle w:val="ParaNoG"/>
      </w:pPr>
      <w:r w:rsidRPr="00376F57">
        <w:t>Underpinning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work,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synthesize</w:t>
      </w:r>
      <w:r w:rsidR="00883178">
        <w:t xml:space="preserve"> </w:t>
      </w:r>
      <w:r w:rsidRPr="00376F57">
        <w:t>knowledge,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local</w:t>
      </w:r>
      <w:r w:rsidR="00883178">
        <w:t xml:space="preserve"> </w:t>
      </w:r>
      <w:r w:rsidRPr="00376F57">
        <w:t>traditional</w:t>
      </w:r>
      <w:r w:rsidR="00883178">
        <w:t xml:space="preserve"> </w:t>
      </w:r>
      <w:r w:rsidRPr="00376F57">
        <w:t>knowledge,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identify</w:t>
      </w:r>
      <w:r w:rsidR="00883178">
        <w:t xml:space="preserve"> </w:t>
      </w:r>
      <w:r w:rsidRPr="00376F57">
        <w:t>good</w:t>
      </w:r>
      <w:r w:rsidR="00883178">
        <w:t xml:space="preserve"> </w:t>
      </w:r>
      <w:r w:rsidRPr="00376F57">
        <w:t>practices,</w:t>
      </w:r>
      <w:r w:rsidR="00883178">
        <w:t xml:space="preserve"> </w:t>
      </w:r>
      <w:r w:rsidRPr="00376F57">
        <w:t>strategies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integrated</w:t>
      </w:r>
      <w:r w:rsidR="00883178">
        <w:t xml:space="preserve"> </w:t>
      </w:r>
      <w:r w:rsidRPr="00376F57">
        <w:t>into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efforts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poverty</w:t>
      </w:r>
      <w:r w:rsidR="00883178">
        <w:t xml:space="preserve"> </w:t>
      </w:r>
      <w:r w:rsidRPr="00376F57">
        <w:t>alleviation,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accordance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paragraph</w:t>
      </w:r>
      <w:r w:rsidR="00883178">
        <w:t xml:space="preserve"> </w:t>
      </w:r>
      <w:r w:rsidRPr="00376F57">
        <w:t>2</w:t>
      </w:r>
      <w:r w:rsidR="00883178">
        <w:t xml:space="preserve"> </w:t>
      </w:r>
      <w:r w:rsidRPr="00376F57">
        <w:t>(c)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resolution</w:t>
      </w:r>
      <w:r w:rsidR="00883178">
        <w:t xml:space="preserve"> </w:t>
      </w:r>
      <w:r w:rsidRPr="00376F57">
        <w:t>48/14.</w:t>
      </w:r>
      <w:r w:rsidR="00883178">
        <w:t xml:space="preserve"> </w:t>
      </w:r>
      <w:r w:rsidRPr="00376F57">
        <w:t>Emphasis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given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reaching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</w:t>
      </w:r>
      <w:r w:rsidR="00883178">
        <w:t xml:space="preserve"> </w:t>
      </w:r>
      <w:r w:rsidRPr="00376F57">
        <w:t>through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visits,</w:t>
      </w:r>
      <w:r w:rsidR="00883178">
        <w:t xml:space="preserve"> </w:t>
      </w:r>
      <w:r w:rsidRPr="00376F57">
        <w:t>online</w:t>
      </w:r>
      <w:r w:rsidR="00883178">
        <w:t xml:space="preserve"> </w:t>
      </w:r>
      <w:r w:rsidRPr="00376F57">
        <w:t>dialogues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interaction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variety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forums.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line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priority,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attended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seventh</w:t>
      </w:r>
      <w:r w:rsidR="00883178">
        <w:t xml:space="preserve"> </w:t>
      </w:r>
      <w:r w:rsidRPr="00376F57">
        <w:t>meeting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Facilitative</w:t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Local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</w:t>
      </w:r>
      <w:r w:rsidR="00883178">
        <w:t xml:space="preserve"> </w:t>
      </w:r>
      <w:r w:rsidRPr="00376F57">
        <w:t>Platform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Framework</w:t>
      </w:r>
      <w:r w:rsidR="00883178">
        <w:t xml:space="preserve"> </w:t>
      </w:r>
      <w:r w:rsidRPr="00376F57">
        <w:t>Convention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held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Bonn,</w:t>
      </w:r>
      <w:r w:rsidR="00883178">
        <w:t xml:space="preserve"> </w:t>
      </w:r>
      <w:r w:rsidRPr="00376F57">
        <w:t>Germany,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1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3</w:t>
      </w:r>
      <w:r w:rsidR="00883178">
        <w:t xml:space="preserve"> </w:t>
      </w:r>
      <w:r w:rsidRPr="00376F57">
        <w:t>June</w:t>
      </w:r>
      <w:r w:rsidR="00883178">
        <w:t xml:space="preserve"> </w:t>
      </w:r>
      <w:r w:rsidRPr="00376F57">
        <w:t>2022.</w:t>
      </w:r>
    </w:p>
    <w:p w14:paraId="37889D46" w14:textId="7BD0CF80" w:rsidR="00F36E7C" w:rsidRPr="00376F57" w:rsidRDefault="00783382" w:rsidP="0051290C">
      <w:pPr>
        <w:pStyle w:val="H4G"/>
        <w:outlineLvl w:val="3"/>
      </w:pPr>
      <w:r w:rsidRPr="00376F57">
        <w:lastRenderedPageBreak/>
        <w:tab/>
      </w:r>
      <w:r w:rsidRPr="00376F57">
        <w:tab/>
      </w:r>
      <w:r w:rsidR="00F36E7C" w:rsidRPr="00376F57">
        <w:t>Engagements</w:t>
      </w:r>
      <w:r w:rsidR="00883178">
        <w:t xml:space="preserve"> </w:t>
      </w:r>
      <w:r w:rsidR="00F36E7C" w:rsidRPr="00376F57">
        <w:t>relating</w:t>
      </w:r>
      <w:r w:rsidR="00883178">
        <w:t xml:space="preserve"> </w:t>
      </w:r>
      <w:r w:rsidR="00F36E7C" w:rsidRPr="00376F57">
        <w:t>to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thematic</w:t>
      </w:r>
      <w:r w:rsidR="00883178">
        <w:t xml:space="preserve"> </w:t>
      </w:r>
      <w:r w:rsidR="00F36E7C" w:rsidRPr="00376F57">
        <w:t>priority</w:t>
      </w:r>
    </w:p>
    <w:p w14:paraId="0F064B38" w14:textId="32797CD0" w:rsidR="00F36E7C" w:rsidRPr="00376F57" w:rsidRDefault="00F36E7C" w:rsidP="0051290C">
      <w:pPr>
        <w:pStyle w:val="ParaNoG"/>
        <w:keepNext/>
        <w:rPr>
          <w:color w:val="141414"/>
        </w:rPr>
      </w:pPr>
      <w:r w:rsidRPr="00376F57">
        <w:t>In</w:t>
      </w:r>
      <w:r w:rsidR="00883178">
        <w:t xml:space="preserve"> </w:t>
      </w:r>
      <w:r w:rsidRPr="00376F57">
        <w:t>carrying</w:t>
      </w:r>
      <w:r w:rsidR="00883178">
        <w:t xml:space="preserve"> </w:t>
      </w:r>
      <w:r w:rsidRPr="00376F57">
        <w:t>out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mandate,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Rapporteur:</w:t>
      </w:r>
    </w:p>
    <w:p w14:paraId="7F804D13" w14:textId="716D742C" w:rsidR="00F36E7C" w:rsidRPr="00376F57" w:rsidRDefault="00F36E7C" w:rsidP="0051290C">
      <w:pPr>
        <w:pStyle w:val="SingleTxtG"/>
        <w:keepNext/>
      </w:pPr>
      <w:r w:rsidRPr="00376F57">
        <w:tab/>
        <w:t>(a)</w:t>
      </w:r>
      <w:r w:rsidRPr="00376F57">
        <w:tab/>
        <w:t>Has</w:t>
      </w:r>
      <w:r w:rsidR="00883178">
        <w:t xml:space="preserve"> </w:t>
      </w:r>
      <w:r w:rsidRPr="00376F57">
        <w:t>established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gender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justice</w:t>
      </w:r>
      <w:r w:rsidR="00883178">
        <w:t xml:space="preserve"> </w:t>
      </w:r>
      <w:r w:rsidRPr="00376F57">
        <w:t>research</w:t>
      </w:r>
      <w:r w:rsidR="00883178">
        <w:t xml:space="preserve"> </w:t>
      </w:r>
      <w:r w:rsidRPr="00376F57">
        <w:t>hub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Fenner</w:t>
      </w:r>
      <w:r w:rsidR="00883178">
        <w:t xml:space="preserve"> </w:t>
      </w:r>
      <w:r w:rsidRPr="00376F57">
        <w:t>School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Environment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Society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Australian</w:t>
      </w:r>
      <w:r w:rsidR="00883178">
        <w:t xml:space="preserve"> </w:t>
      </w:r>
      <w:r w:rsidRPr="00376F57">
        <w:t>National</w:t>
      </w:r>
      <w:r w:rsidR="00883178">
        <w:t xml:space="preserve"> </w:t>
      </w:r>
      <w:r w:rsidRPr="00376F57">
        <w:t>University,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fulfilment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element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approach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participation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inclusion.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research</w:t>
      </w:r>
      <w:r w:rsidR="00883178">
        <w:t xml:space="preserve"> </w:t>
      </w:r>
      <w:r w:rsidRPr="00376F57">
        <w:t>hub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provide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opportunity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students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review</w:t>
      </w:r>
      <w:r w:rsidR="00883178">
        <w:t xml:space="preserve"> </w:t>
      </w:r>
      <w:r w:rsidRPr="00376F57">
        <w:t>gender-responsive</w:t>
      </w:r>
      <w:r w:rsidR="00883178">
        <w:t xml:space="preserve"> </w:t>
      </w:r>
      <w:r w:rsidRPr="00376F57">
        <w:t>approaches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research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issues</w:t>
      </w:r>
      <w:r w:rsidR="00883178">
        <w:t xml:space="preserve"> </w:t>
      </w:r>
      <w:r w:rsidRPr="00376F57">
        <w:t>defined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report;</w:t>
      </w:r>
    </w:p>
    <w:p w14:paraId="7819D8C5" w14:textId="419F5CEE" w:rsidR="00F36E7C" w:rsidRPr="00376F57" w:rsidRDefault="00F36E7C" w:rsidP="00783382">
      <w:pPr>
        <w:pStyle w:val="SingleTxtG"/>
      </w:pPr>
      <w:r w:rsidRPr="00376F57">
        <w:tab/>
        <w:t>(b)</w:t>
      </w:r>
      <w:r w:rsidRPr="00376F57">
        <w:tab/>
        <w:t>Will</w:t>
      </w:r>
      <w:r w:rsidR="00883178">
        <w:t xml:space="preserve"> </w:t>
      </w:r>
      <w:r w:rsidRPr="00376F57">
        <w:t>advocate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defenders.</w:t>
      </w:r>
    </w:p>
    <w:p w14:paraId="129DFBF9" w14:textId="001F2E5D" w:rsidR="00F36E7C" w:rsidRPr="00376F57" w:rsidRDefault="00F36E7C" w:rsidP="00FE159F">
      <w:pPr>
        <w:pStyle w:val="HChG"/>
        <w:outlineLvl w:val="0"/>
      </w:pPr>
      <w:bookmarkStart w:id="18" w:name="_aygi4cdaqrz7" w:colFirst="0" w:colLast="0"/>
      <w:bookmarkStart w:id="19" w:name="_Toc104788997"/>
      <w:bookmarkEnd w:id="18"/>
      <w:r w:rsidRPr="00376F57">
        <w:tab/>
        <w:t>VI.</w:t>
      </w:r>
      <w:r w:rsidRPr="00376F57">
        <w:tab/>
        <w:t>Way</w:t>
      </w:r>
      <w:r w:rsidR="00883178">
        <w:t xml:space="preserve"> </w:t>
      </w:r>
      <w:r w:rsidRPr="00376F57">
        <w:t>forward</w:t>
      </w:r>
      <w:bookmarkEnd w:id="19"/>
    </w:p>
    <w:p w14:paraId="51D8436B" w14:textId="0BEB087C" w:rsidR="00F36E7C" w:rsidRPr="00376F57" w:rsidRDefault="00F36E7C" w:rsidP="00F36E7C">
      <w:pPr>
        <w:pStyle w:val="ParaNoG"/>
      </w:pPr>
      <w:r w:rsidRPr="00376F57">
        <w:t>The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outlined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priorities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first</w:t>
      </w:r>
      <w:r w:rsidR="00883178">
        <w:t xml:space="preserve"> </w:t>
      </w:r>
      <w:r w:rsidRPr="00376F57">
        <w:t>three</w:t>
      </w:r>
      <w:r w:rsidR="00883178">
        <w:t xml:space="preserve"> </w:t>
      </w:r>
      <w:r w:rsidRPr="00376F57">
        <w:t>years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mandate.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welcomes</w:t>
      </w:r>
      <w:r w:rsidR="00883178">
        <w:t xml:space="preserve"> </w:t>
      </w:r>
      <w:r w:rsidRPr="00376F57">
        <w:t>comments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reactions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looks</w:t>
      </w:r>
      <w:r w:rsidR="00883178">
        <w:t xml:space="preserve"> </w:t>
      </w:r>
      <w:r w:rsidRPr="00376F57">
        <w:t>forward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stakeholders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advance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discussion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promotion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</w:p>
    <w:p w14:paraId="6C6797CB" w14:textId="77777777" w:rsidR="002D1404" w:rsidRPr="00376F57" w:rsidRDefault="002D1404" w:rsidP="00F36E7C">
      <w:pPr>
        <w:sectPr w:rsidR="002D1404" w:rsidRPr="00376F57" w:rsidSect="00CA1B04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</w:p>
    <w:p w14:paraId="5BC2DEF3" w14:textId="452F0DB5" w:rsidR="00F36E7C" w:rsidRPr="00376F57" w:rsidRDefault="00F36E7C" w:rsidP="00FE159F">
      <w:pPr>
        <w:pStyle w:val="HChG"/>
        <w:outlineLvl w:val="0"/>
      </w:pPr>
      <w:bookmarkStart w:id="20" w:name="_Toc104788999"/>
      <w:r w:rsidRPr="00376F57">
        <w:lastRenderedPageBreak/>
        <w:t>Annex</w:t>
      </w:r>
    </w:p>
    <w:p w14:paraId="5DF001DE" w14:textId="7AA28880" w:rsidR="00F36E7C" w:rsidRPr="00376F57" w:rsidRDefault="00783382" w:rsidP="00FE159F">
      <w:pPr>
        <w:pStyle w:val="HChG"/>
        <w:outlineLvl w:val="0"/>
      </w:pPr>
      <w:r w:rsidRPr="00376F57">
        <w:tab/>
      </w:r>
      <w:r w:rsidRPr="00376F57">
        <w:tab/>
      </w:r>
      <w:r w:rsidR="00F36E7C" w:rsidRPr="00376F57">
        <w:t>Non-exhaustive</w:t>
      </w:r>
      <w:r w:rsidR="00883178">
        <w:t xml:space="preserve"> </w:t>
      </w:r>
      <w:r w:rsidR="00F36E7C" w:rsidRPr="00376F57">
        <w:t>compilation</w:t>
      </w:r>
      <w:r w:rsidR="00883178">
        <w:t xml:space="preserve"> </w:t>
      </w:r>
      <w:r w:rsidR="00F36E7C" w:rsidRPr="00376F57">
        <w:t>of</w:t>
      </w:r>
      <w:r w:rsidR="00883178">
        <w:t xml:space="preserve"> </w:t>
      </w:r>
      <w:r w:rsidR="00F36E7C" w:rsidRPr="00376F57">
        <w:t>work</w:t>
      </w:r>
      <w:r w:rsidR="00883178">
        <w:t xml:space="preserve"> </w:t>
      </w:r>
      <w:r w:rsidR="00F36E7C" w:rsidRPr="00376F57">
        <w:t>of</w:t>
      </w:r>
      <w:r w:rsidR="00883178">
        <w:t xml:space="preserve"> </w:t>
      </w:r>
      <w:r w:rsidR="00F36E7C" w:rsidRPr="00376F57">
        <w:t>the</w:t>
      </w:r>
      <w:r w:rsidR="00883178">
        <w:t xml:space="preserve"> </w:t>
      </w:r>
      <w:r w:rsidR="00F36E7C" w:rsidRPr="00376F57">
        <w:t>special</w:t>
      </w:r>
      <w:r w:rsidR="00883178">
        <w:t xml:space="preserve"> </w:t>
      </w:r>
      <w:r w:rsidR="00F36E7C" w:rsidRPr="00376F57">
        <w:t>procedure</w:t>
      </w:r>
      <w:r w:rsidR="00883178">
        <w:t xml:space="preserve"> </w:t>
      </w:r>
      <w:r w:rsidR="00F36E7C" w:rsidRPr="00376F57">
        <w:t>mandate</w:t>
      </w:r>
      <w:r w:rsidR="00883178">
        <w:t xml:space="preserve"> </w:t>
      </w:r>
      <w:r w:rsidR="00F36E7C" w:rsidRPr="00376F57">
        <w:t>holders</w:t>
      </w:r>
      <w:r w:rsidR="00883178">
        <w:t xml:space="preserve"> </w:t>
      </w:r>
      <w:r w:rsidR="00F36E7C" w:rsidRPr="00376F57">
        <w:t>on</w:t>
      </w:r>
      <w:r w:rsidR="00883178">
        <w:t xml:space="preserve"> </w:t>
      </w:r>
      <w:r w:rsidR="00F36E7C" w:rsidRPr="00376F57">
        <w:t>climate</w:t>
      </w:r>
      <w:r w:rsidR="00883178">
        <w:t xml:space="preserve"> </w:t>
      </w:r>
      <w:r w:rsidR="00F36E7C" w:rsidRPr="00376F57">
        <w:t>change</w:t>
      </w:r>
      <w:r w:rsidR="00883178">
        <w:t xml:space="preserve"> </w:t>
      </w:r>
      <w:r w:rsidR="00F36E7C" w:rsidRPr="00376F57">
        <w:t>and</w:t>
      </w:r>
      <w:r w:rsidR="00883178">
        <w:t xml:space="preserve"> </w:t>
      </w:r>
      <w:r w:rsidR="00F36E7C" w:rsidRPr="00376F57">
        <w:t>human</w:t>
      </w:r>
      <w:r w:rsidR="00883178">
        <w:t xml:space="preserve"> </w:t>
      </w:r>
      <w:r w:rsidR="00F36E7C" w:rsidRPr="00376F57">
        <w:t>rights</w:t>
      </w:r>
      <w:bookmarkEnd w:id="20"/>
    </w:p>
    <w:p w14:paraId="5B848993" w14:textId="2483D2C5" w:rsidR="00F36E7C" w:rsidRPr="00376F57" w:rsidRDefault="00F36E7C" w:rsidP="00FE159F">
      <w:pPr>
        <w:pStyle w:val="H1G"/>
        <w:outlineLvl w:val="1"/>
      </w:pPr>
      <w:bookmarkStart w:id="21" w:name="_Toc104789000"/>
      <w:r w:rsidRPr="00376F57">
        <w:tab/>
        <w:t>A.</w:t>
      </w:r>
      <w:r w:rsidRPr="00376F57">
        <w:tab/>
        <w:t>Specific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bookmarkEnd w:id="21"/>
    </w:p>
    <w:p w14:paraId="069EA3C6" w14:textId="71DF517F" w:rsidR="00F36E7C" w:rsidRPr="00376F57" w:rsidRDefault="00F36E7C" w:rsidP="00EF34F2">
      <w:pPr>
        <w:pStyle w:val="ParaNoG"/>
        <w:numPr>
          <w:ilvl w:val="0"/>
          <w:numId w:val="19"/>
        </w:numPr>
        <w:rPr>
          <w:color w:val="000000"/>
        </w:rPr>
      </w:pPr>
      <w:r w:rsidRPr="00376F57">
        <w:t>The</w:t>
      </w:r>
      <w:r w:rsidR="00883178">
        <w:t xml:space="preserve"> </w:t>
      </w:r>
      <w:r w:rsidRPr="00376F57">
        <w:t>consequences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both</w:t>
      </w:r>
      <w:r w:rsidR="00883178">
        <w:t xml:space="preserve"> </w:t>
      </w:r>
      <w:r w:rsidRPr="00376F57">
        <w:t>direct,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posing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threat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life,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indirect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gradual,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increasing</w:t>
      </w:r>
      <w:r w:rsidR="00883178">
        <w:t xml:space="preserve"> </w:t>
      </w:r>
      <w:r w:rsidRPr="00376F57">
        <w:t>stress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access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basic</w:t>
      </w:r>
      <w:r w:rsidR="00883178">
        <w:t xml:space="preserve"> </w:t>
      </w:r>
      <w:r w:rsidRPr="00376F57">
        <w:t>services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vulnerabilities</w:t>
      </w:r>
      <w:r w:rsidR="00883178">
        <w:t xml:space="preserve"> </w:t>
      </w:r>
      <w:r w:rsidRPr="00376F57">
        <w:t>related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livelihoods.</w:t>
      </w:r>
      <w:r w:rsidR="00883178">
        <w:t xml:space="preserve"> </w:t>
      </w:r>
      <w:r w:rsidRPr="00376F57">
        <w:rPr>
          <w:color w:val="000000"/>
        </w:rPr>
        <w:t>The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special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procedure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mandate</w:t>
      </w:r>
      <w:r w:rsidR="00883178">
        <w:rPr>
          <w:color w:val="000000"/>
        </w:rPr>
        <w:t xml:space="preserve"> </w:t>
      </w:r>
      <w:r w:rsidRPr="00376F57">
        <w:t>holders,</w:t>
      </w:r>
      <w:r w:rsidR="00883178">
        <w:t xml:space="preserve"> </w:t>
      </w:r>
      <w:r w:rsidRPr="00376F57">
        <w:t>through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work</w:t>
      </w:r>
      <w:r w:rsidR="00883178">
        <w:t xml:space="preserve"> </w:t>
      </w:r>
      <w:r w:rsidRPr="00376F57">
        <w:t>highlighted</w:t>
      </w:r>
      <w:r w:rsidR="00883178">
        <w:t xml:space="preserve"> </w:t>
      </w:r>
      <w:r w:rsidRPr="00376F57">
        <w:t>below,</w:t>
      </w:r>
      <w:r w:rsidR="00883178">
        <w:t xml:space="preserve"> </w:t>
      </w:r>
      <w:r w:rsidRPr="00376F57">
        <w:rPr>
          <w:color w:val="000000"/>
        </w:rPr>
        <w:t>address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the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impact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of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climate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change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on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the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enjoyment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of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human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rights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in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accordance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with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specific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human</w:t>
      </w:r>
      <w:r w:rsidR="00883178">
        <w:rPr>
          <w:color w:val="000000"/>
        </w:rPr>
        <w:t xml:space="preserve"> </w:t>
      </w:r>
      <w:r w:rsidRPr="00376F57">
        <w:rPr>
          <w:color w:val="000000"/>
        </w:rPr>
        <w:t>rights.</w:t>
      </w:r>
    </w:p>
    <w:p w14:paraId="0EFD8E77" w14:textId="3DEB8F63" w:rsidR="00F36E7C" w:rsidRPr="00376F57" w:rsidRDefault="00F36E7C" w:rsidP="00F36E7C">
      <w:pPr>
        <w:pStyle w:val="ParaNoG"/>
        <w:rPr>
          <w:color w:val="000000" w:themeColor="text1"/>
        </w:rPr>
      </w:pPr>
      <w:r w:rsidRPr="00376F57">
        <w:rPr>
          <w:b/>
          <w:bCs/>
        </w:rPr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healthy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environment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safe,</w:t>
      </w:r>
      <w:r w:rsidR="00883178">
        <w:t xml:space="preserve"> </w:t>
      </w:r>
      <w:r w:rsidRPr="00376F57">
        <w:t>clean,</w:t>
      </w:r>
      <w:r w:rsidR="00883178">
        <w:t xml:space="preserve"> </w:t>
      </w:r>
      <w:r w:rsidRPr="00376F57">
        <w:t>healthy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rPr>
          <w:color w:val="000000" w:themeColor="text1"/>
        </w:rPr>
        <w:t>environment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has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clarified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that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safe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climate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one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six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substantive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elements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right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clean,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healthy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sustainable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environment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that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absolutely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essential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human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life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well-being.</w:t>
      </w:r>
      <w:r w:rsidRPr="00376F57">
        <w:rPr>
          <w:rStyle w:val="FootnoteReference"/>
        </w:rPr>
        <w:footnoteReference w:id="23"/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reports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his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country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visits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Fiji,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Norway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Saint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Vincent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Grenadines,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outlined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human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rights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challenges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related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climate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change.</w:t>
      </w:r>
      <w:r w:rsidRPr="00376F57">
        <w:rPr>
          <w:rStyle w:val="FootnoteReference"/>
        </w:rPr>
        <w:footnoteReference w:id="24"/>
      </w:r>
    </w:p>
    <w:p w14:paraId="304F332A" w14:textId="46527C82" w:rsidR="00F36E7C" w:rsidRPr="00376F57" w:rsidRDefault="00F36E7C" w:rsidP="00F36E7C">
      <w:pPr>
        <w:pStyle w:val="ParaNoG"/>
      </w:pPr>
      <w:r w:rsidRPr="00376F57">
        <w:rPr>
          <w:b/>
          <w:bCs/>
        </w:rPr>
        <w:t>Rights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safe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drinking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water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and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sanitation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consequences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generate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scarcity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destruction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facilities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contamination,</w:t>
      </w:r>
      <w:r w:rsidR="00883178">
        <w:t xml:space="preserve"> </w:t>
      </w:r>
      <w:r w:rsidRPr="00376F57">
        <w:t>affecting</w:t>
      </w:r>
      <w:r w:rsidR="00883178">
        <w:t xml:space="preserve"> </w:t>
      </w:r>
      <w:r w:rsidRPr="00376F57">
        <w:t>access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sanitation</w:t>
      </w:r>
      <w:r w:rsidR="00883178">
        <w:t xml:space="preserve"> </w:t>
      </w:r>
      <w:r w:rsidRPr="00376F57">
        <w:t>services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putting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risk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safe</w:t>
      </w:r>
      <w:r w:rsidR="00883178">
        <w:t xml:space="preserve"> </w:t>
      </w:r>
      <w:r w:rsidRPr="00376F57">
        <w:t>drinking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sanitation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who</w:t>
      </w:r>
      <w:r w:rsidR="00883178">
        <w:t xml:space="preserve"> </w:t>
      </w:r>
      <w:r w:rsidRPr="00376F57">
        <w:t>live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vulnerability.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risks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regard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access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sanitation,</w:t>
      </w:r>
      <w:r w:rsidR="00883178">
        <w:t xml:space="preserve"> </w:t>
      </w:r>
      <w:r w:rsidRPr="00376F57">
        <w:t>found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variety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regions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felt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specific</w:t>
      </w:r>
      <w:r w:rsidR="00883178">
        <w:t xml:space="preserve"> </w:t>
      </w:r>
      <w:r w:rsidRPr="00376F57">
        <w:t>groups,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highlighted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safe</w:t>
      </w:r>
      <w:r w:rsidR="00883178">
        <w:t xml:space="preserve"> </w:t>
      </w:r>
      <w:r w:rsidRPr="00376F57">
        <w:t>drinking</w:t>
      </w:r>
      <w:r w:rsidR="00883178">
        <w:t xml:space="preserve"> </w:t>
      </w:r>
      <w:r w:rsidRPr="00376F57">
        <w:t>water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sanitation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three-part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thematic</w:t>
      </w:r>
      <w:r w:rsidR="00883178">
        <w:t xml:space="preserve"> </w:t>
      </w:r>
      <w:r w:rsidRPr="00376F57">
        <w:t>report.</w:t>
      </w:r>
      <w:r w:rsidRPr="00376F57">
        <w:rPr>
          <w:rStyle w:val="FootnoteReference"/>
        </w:rPr>
        <w:footnoteReference w:id="25"/>
      </w:r>
    </w:p>
    <w:p w14:paraId="696A941E" w14:textId="0639E2E8" w:rsidR="00F36E7C" w:rsidRPr="00376F57" w:rsidRDefault="00F36E7C" w:rsidP="00F36E7C">
      <w:pPr>
        <w:pStyle w:val="ParaNoG"/>
      </w:pPr>
      <w:r w:rsidRPr="00376F57">
        <w:rPr>
          <w:b/>
          <w:bCs/>
        </w:rPr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adequate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housing</w:t>
      </w:r>
      <w:r w:rsidRPr="00376F57">
        <w:t>.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carries</w:t>
      </w:r>
      <w:r w:rsidR="00883178">
        <w:t xml:space="preserve"> </w:t>
      </w:r>
      <w:r w:rsidRPr="00376F57">
        <w:t>implications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weather</w:t>
      </w:r>
      <w:r w:rsidR="00883178">
        <w:t xml:space="preserve"> </w:t>
      </w:r>
      <w:r w:rsidRPr="00376F57">
        <w:t>events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exercise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housing,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settlements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unplanned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unserviced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well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small</w:t>
      </w:r>
      <w:r w:rsidR="00883178">
        <w:t xml:space="preserve"> </w:t>
      </w:r>
      <w:r w:rsidRPr="00376F57">
        <w:t>islands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low-lying</w:t>
      </w:r>
      <w:r w:rsidR="00883178">
        <w:t xml:space="preserve"> </w:t>
      </w:r>
      <w:r w:rsidRPr="00376F57">
        <w:t>coastal</w:t>
      </w:r>
      <w:r w:rsidR="00883178">
        <w:t xml:space="preserve"> </w:t>
      </w:r>
      <w:r w:rsidRPr="00376F57">
        <w:t>zones.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mobility.</w:t>
      </w:r>
      <w:r w:rsidRPr="00376F57">
        <w:rPr>
          <w:rStyle w:val="FootnoteReference"/>
        </w:rPr>
        <w:footnoteReference w:id="26"/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addition,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become</w:t>
      </w:r>
      <w:r w:rsidR="00883178">
        <w:t xml:space="preserve"> </w:t>
      </w:r>
      <w:r w:rsidRPr="00376F57">
        <w:t>one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primary</w:t>
      </w:r>
      <w:r w:rsidR="00883178">
        <w:t xml:space="preserve"> </w:t>
      </w:r>
      <w:r w:rsidRPr="00376F57">
        <w:t>drivers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forced</w:t>
      </w:r>
      <w:r w:rsidR="00883178">
        <w:t xml:space="preserve"> </w:t>
      </w:r>
      <w:r w:rsidRPr="00376F57">
        <w:t>evictions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displacement.</w:t>
      </w:r>
      <w:r w:rsidRPr="00376F57">
        <w:rPr>
          <w:rStyle w:val="FootnoteReference"/>
        </w:rPr>
        <w:footnoteReference w:id="27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housing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construction</w:t>
      </w:r>
      <w:r w:rsidR="00883178">
        <w:t xml:space="preserve"> </w:t>
      </w:r>
      <w:r w:rsidRPr="00376F57">
        <w:t>sectors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major</w:t>
      </w:r>
      <w:r w:rsidR="00883178">
        <w:t xml:space="preserve"> </w:t>
      </w:r>
      <w:r w:rsidRPr="00376F57">
        <w:t>contributors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fifty-second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Council,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housing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component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standard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living,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non-discrimination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this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take</w:t>
      </w:r>
      <w:r w:rsidR="00883178">
        <w:t xml:space="preserve"> </w:t>
      </w:r>
      <w:r w:rsidRPr="00376F57">
        <w:t>stock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challenges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poses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guaranteeing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housing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ways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which</w:t>
      </w:r>
      <w:r w:rsidR="00883178">
        <w:t xml:space="preserve"> </w:t>
      </w:r>
      <w:r w:rsidRPr="00376F57">
        <w:t>housing</w:t>
      </w:r>
      <w:r w:rsidR="00883178">
        <w:t xml:space="preserve"> </w:t>
      </w:r>
      <w:r w:rsidRPr="00376F57">
        <w:t>contributes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Pr="00376F57">
        <w:rPr>
          <w:rStyle w:val="FootnoteReference"/>
        </w:rPr>
        <w:footnoteReference w:id="28"/>
      </w:r>
      <w:r w:rsidR="00883178">
        <w:rPr>
          <w:sz w:val="16"/>
          <w:szCs w:val="16"/>
        </w:rPr>
        <w:t xml:space="preserve"> </w:t>
      </w:r>
    </w:p>
    <w:p w14:paraId="38C13624" w14:textId="09AE0973" w:rsidR="00F36E7C" w:rsidRPr="00376F57" w:rsidRDefault="00F36E7C" w:rsidP="00F36E7C">
      <w:pPr>
        <w:pStyle w:val="ParaNoG"/>
        <w:rPr>
          <w:rFonts w:eastAsiaTheme="minorEastAsia"/>
          <w:color w:val="000000" w:themeColor="text1"/>
        </w:rPr>
      </w:pPr>
      <w:r w:rsidRPr="00376F57">
        <w:rPr>
          <w:b/>
          <w:bCs/>
          <w:color w:val="000000"/>
        </w:rPr>
        <w:t>Right</w:t>
      </w:r>
      <w:r w:rsidR="00883178">
        <w:rPr>
          <w:b/>
          <w:bCs/>
          <w:color w:val="000000"/>
        </w:rPr>
        <w:t xml:space="preserve"> </w:t>
      </w:r>
      <w:r w:rsidRPr="00376F57">
        <w:rPr>
          <w:b/>
          <w:bCs/>
          <w:color w:val="000000"/>
        </w:rPr>
        <w:t>to</w:t>
      </w:r>
      <w:r w:rsidR="00883178">
        <w:rPr>
          <w:b/>
          <w:bCs/>
          <w:color w:val="000000"/>
        </w:rPr>
        <w:t xml:space="preserve"> </w:t>
      </w:r>
      <w:r w:rsidRPr="00376F57">
        <w:rPr>
          <w:b/>
          <w:bCs/>
          <w:color w:val="000000"/>
        </w:rPr>
        <w:t>adequate</w:t>
      </w:r>
      <w:r w:rsidR="00883178">
        <w:rPr>
          <w:b/>
          <w:bCs/>
          <w:color w:val="000000"/>
        </w:rPr>
        <w:t xml:space="preserve"> </w:t>
      </w:r>
      <w:r w:rsidRPr="00376F57">
        <w:rPr>
          <w:b/>
          <w:bCs/>
          <w:color w:val="000000"/>
        </w:rPr>
        <w:t>food</w:t>
      </w:r>
      <w:r w:rsidRPr="00376F57">
        <w:rPr>
          <w:color w:val="000000"/>
        </w:rPr>
        <w:t>.</w:t>
      </w:r>
      <w:r w:rsidR="00883178">
        <w:rPr>
          <w:color w:val="000000"/>
        </w:rPr>
        <w:t xml:space="preserve"> </w:t>
      </w:r>
      <w:r w:rsidRPr="00376F57">
        <w:t>Unsustainable</w:t>
      </w:r>
      <w:r w:rsidR="00883178">
        <w:t xml:space="preserve"> </w:t>
      </w:r>
      <w:r w:rsidRPr="00376F57">
        <w:t>production,</w:t>
      </w:r>
      <w:r w:rsidR="00883178">
        <w:t xml:space="preserve"> </w:t>
      </w:r>
      <w:r w:rsidRPr="00376F57">
        <w:t>industrialized</w:t>
      </w:r>
      <w:r w:rsidR="00883178">
        <w:t xml:space="preserve"> </w:t>
      </w:r>
      <w:r w:rsidRPr="00376F57">
        <w:t>agriculture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consumption</w:t>
      </w:r>
      <w:r w:rsidR="00883178">
        <w:t xml:space="preserve"> </w:t>
      </w:r>
      <w:r w:rsidRPr="00376F57">
        <w:t>patterns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detrimental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health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main</w:t>
      </w:r>
      <w:r w:rsidR="00883178">
        <w:t xml:space="preserve"> </w:t>
      </w:r>
      <w:r w:rsidRPr="00376F57">
        <w:t>driver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Pr="00376F57">
        <w:rPr>
          <w:rStyle w:val="FootnoteReference"/>
        </w:rPr>
        <w:footnoteReference w:id="29"/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same</w:t>
      </w:r>
      <w:r w:rsidR="00883178">
        <w:t xml:space="preserve"> </w:t>
      </w:r>
      <w:r w:rsidRPr="00376F57">
        <w:t>time,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adequate</w:t>
      </w:r>
      <w:r w:rsidR="00883178">
        <w:t xml:space="preserve"> </w:t>
      </w:r>
      <w:r w:rsidRPr="00376F57">
        <w:t>food,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long-term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deeper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food</w:t>
      </w:r>
      <w:r w:rsidR="00883178">
        <w:t xml:space="preserve"> </w:t>
      </w:r>
      <w:r w:rsidRPr="00376F57">
        <w:t>insecurity</w:t>
      </w:r>
      <w:r w:rsidR="00883178">
        <w:t xml:space="preserve"> </w:t>
      </w:r>
      <w:r w:rsidRPr="00376F57">
        <w:t>resulting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eventually</w:t>
      </w:r>
      <w:r w:rsidR="00883178">
        <w:t xml:space="preserve"> </w:t>
      </w:r>
      <w:r w:rsidRPr="00376F57">
        <w:t>bring</w:t>
      </w:r>
      <w:r w:rsidR="00883178">
        <w:t xml:space="preserve"> </w:t>
      </w:r>
      <w:r w:rsidRPr="00376F57">
        <w:t>conflicts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rPr>
          <w:color w:val="000000" w:themeColor="text1"/>
        </w:rPr>
        <w:t>that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have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limited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capacity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cope.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addition,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mitigation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policies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can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have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adverse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impact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right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food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adaptation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policies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measures.</w:t>
      </w:r>
      <w:r w:rsidRPr="00376F57">
        <w:rPr>
          <w:rStyle w:val="FootnoteReference"/>
        </w:rPr>
        <w:footnoteReference w:id="30"/>
      </w:r>
      <w:r w:rsidR="00883178">
        <w:rPr>
          <w:color w:val="000000" w:themeColor="text1"/>
        </w:rPr>
        <w:t xml:space="preserve"> </w:t>
      </w:r>
    </w:p>
    <w:p w14:paraId="6746C47D" w14:textId="7F45AF61" w:rsidR="00F36E7C" w:rsidRPr="00376F57" w:rsidRDefault="00F36E7C" w:rsidP="00F36E7C">
      <w:pPr>
        <w:pStyle w:val="ParaNoG"/>
        <w:rPr>
          <w:rFonts w:eastAsiaTheme="minorEastAsia"/>
        </w:rPr>
      </w:pPr>
      <w:r w:rsidRPr="00376F57">
        <w:rPr>
          <w:b/>
          <w:bCs/>
        </w:rPr>
        <w:lastRenderedPageBreak/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culture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conditions</w:t>
      </w:r>
      <w:r w:rsidR="00883178">
        <w:t xml:space="preserve"> </w:t>
      </w:r>
      <w:r w:rsidRPr="00376F57">
        <w:t>allowing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people,</w:t>
      </w:r>
      <w:r w:rsidR="00883178">
        <w:t xml:space="preserve"> </w:t>
      </w:r>
      <w:r w:rsidRPr="00376F57">
        <w:t>without</w:t>
      </w:r>
      <w:r w:rsidR="00883178">
        <w:t xml:space="preserve"> </w:t>
      </w:r>
      <w:r w:rsidRPr="00376F57">
        <w:t>discrimination,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access,</w:t>
      </w:r>
      <w:r w:rsidR="00883178">
        <w:t xml:space="preserve"> </w:t>
      </w:r>
      <w:r w:rsidRPr="00376F57">
        <w:t>participate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life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greatly</w:t>
      </w:r>
      <w:r w:rsidR="00883178">
        <w:t xml:space="preserve"> </w:t>
      </w:r>
      <w:r w:rsidRPr="00376F57">
        <w:t>jeopardized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Many</w:t>
      </w:r>
      <w:r w:rsidR="00883178">
        <w:t xml:space="preserve"> </w:t>
      </w:r>
      <w:r w:rsidRPr="00376F57">
        <w:t>world</w:t>
      </w:r>
      <w:r w:rsidR="00883178">
        <w:t xml:space="preserve"> </w:t>
      </w:r>
      <w:r w:rsidRPr="00376F57">
        <w:t>heritage</w:t>
      </w:r>
      <w:r w:rsidR="00883178">
        <w:t xml:space="preserve"> </w:t>
      </w:r>
      <w:r w:rsidRPr="00376F57">
        <w:t>sites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threatened</w:t>
      </w:r>
      <w:r w:rsidR="00883178">
        <w:t xml:space="preserve"> </w:t>
      </w:r>
      <w:r w:rsidRPr="00376F57">
        <w:t>by,</w:t>
      </w:r>
      <w:r w:rsidR="00883178">
        <w:t xml:space="preserve"> </w:t>
      </w:r>
      <w:r w:rsidRPr="00376F57">
        <w:t>among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things,</w:t>
      </w:r>
      <w:r w:rsidR="00883178">
        <w:t xml:space="preserve"> </w:t>
      </w:r>
      <w:r w:rsidRPr="00376F57">
        <w:t>rising</w:t>
      </w:r>
      <w:r w:rsidR="00883178">
        <w:t xml:space="preserve"> </w:t>
      </w:r>
      <w:r w:rsidRPr="00376F57">
        <w:t>sea</w:t>
      </w:r>
      <w:r w:rsidR="00883178">
        <w:t xml:space="preserve"> </w:t>
      </w:r>
      <w:r w:rsidRPr="00376F57">
        <w:t>levels,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a</w:t>
      </w:r>
      <w:r w:rsidR="00883178">
        <w:t xml:space="preserve"> </w:t>
      </w:r>
      <w:r w:rsidR="00454838" w:rsidRPr="00376F57">
        <w:t>“</w:t>
      </w:r>
      <w:r w:rsidRPr="00376F57">
        <w:t>threat</w:t>
      </w:r>
      <w:r w:rsidR="00883178">
        <w:t xml:space="preserve"> </w:t>
      </w:r>
      <w:r w:rsidRPr="00376F57">
        <w:t>multiplier</w:t>
      </w:r>
      <w:r w:rsidR="00454838" w:rsidRPr="00376F57">
        <w:t>”</w:t>
      </w:r>
      <w:r w:rsidRPr="00376F57">
        <w:t>,</w:t>
      </w:r>
      <w:r w:rsidR="00883178">
        <w:t xml:space="preserve"> </w:t>
      </w:r>
      <w:r w:rsidRPr="00376F57">
        <w:t>magnifying</w:t>
      </w:r>
      <w:r w:rsidR="00883178">
        <w:t xml:space="preserve"> </w:t>
      </w:r>
      <w:r w:rsidRPr="00376F57">
        <w:t>existing</w:t>
      </w:r>
      <w:r w:rsidR="00883178">
        <w:t xml:space="preserve"> </w:t>
      </w:r>
      <w:r w:rsidRPr="00376F57">
        <w:t>threats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heritage.</w:t>
      </w:r>
      <w:r w:rsidRPr="00376F57">
        <w:rPr>
          <w:rStyle w:val="FootnoteReference"/>
        </w:rPr>
        <w:footnoteReference w:id="31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field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introduced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positive</w:t>
      </w:r>
      <w:r w:rsidR="00883178">
        <w:t xml:space="preserve"> </w:t>
      </w:r>
      <w:r w:rsidRPr="00376F57">
        <w:t>potential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cultures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exercise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serve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critical</w:t>
      </w:r>
      <w:r w:rsidR="00883178">
        <w:t xml:space="preserve"> </w:t>
      </w:r>
      <w:r w:rsidRPr="00376F57">
        <w:t>tools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responding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emergency.</w:t>
      </w:r>
      <w:r w:rsidRPr="00376F57">
        <w:rPr>
          <w:rStyle w:val="FootnoteReference"/>
        </w:rPr>
        <w:footnoteReference w:id="32"/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her</w:t>
      </w:r>
      <w:r w:rsidR="00883178">
        <w:t xml:space="preserve"> </w:t>
      </w:r>
      <w:r w:rsidRPr="00376F57">
        <w:t>reports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country</w:t>
      </w:r>
      <w:r w:rsidR="00883178">
        <w:t xml:space="preserve"> </w:t>
      </w:r>
      <w:r w:rsidRPr="00376F57">
        <w:t>visits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Maldives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Tuvalu,</w:t>
      </w:r>
      <w:r w:rsidRPr="00376F57">
        <w:rPr>
          <w:rStyle w:val="FootnoteReference"/>
        </w:rPr>
        <w:footnoteReference w:id="33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highlighted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may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culture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rights.</w:t>
      </w:r>
    </w:p>
    <w:p w14:paraId="20ECDF35" w14:textId="5985299D" w:rsidR="00F36E7C" w:rsidRPr="00376F57" w:rsidRDefault="00F36E7C" w:rsidP="00F36E7C">
      <w:pPr>
        <w:pStyle w:val="ParaNoG"/>
        <w:rPr>
          <w:rFonts w:eastAsiaTheme="minorEastAsia"/>
          <w:color w:val="000000" w:themeColor="text1"/>
        </w:rPr>
      </w:pPr>
      <w:r w:rsidRPr="00376F57">
        <w:rPr>
          <w:b/>
          <w:bCs/>
        </w:rPr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the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highest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attainable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standard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health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everyone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highest</w:t>
      </w:r>
      <w:r w:rsidR="00883178">
        <w:t xml:space="preserve"> </w:t>
      </w:r>
      <w:r w:rsidRPr="00376F57">
        <w:t>attainable</w:t>
      </w:r>
      <w:r w:rsidR="00883178">
        <w:t xml:space="preserve"> </w:t>
      </w:r>
      <w:r w:rsidRPr="00376F57">
        <w:t>standard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physical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mental</w:t>
      </w:r>
      <w:r w:rsidR="00883178">
        <w:t xml:space="preserve"> </w:t>
      </w:r>
      <w:r w:rsidRPr="00376F57">
        <w:t>health</w:t>
      </w:r>
      <w:r w:rsidR="00883178">
        <w:t xml:space="preserve"> </w:t>
      </w:r>
      <w:r w:rsidRPr="00376F57">
        <w:t>recommended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actors</w:t>
      </w:r>
      <w:r w:rsidR="00883178">
        <w:t xml:space="preserve"> </w:t>
      </w:r>
      <w:r w:rsidRPr="00376F57">
        <w:t>recognize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health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pollution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certain</w:t>
      </w:r>
      <w:r w:rsidR="00883178">
        <w:t xml:space="preserve"> </w:t>
      </w:r>
      <w:r w:rsidRPr="00376F57">
        <w:t>populations,</w:t>
      </w:r>
      <w:r w:rsidR="00883178">
        <w:t xml:space="preserve"> </w:t>
      </w:r>
      <w:r w:rsidRPr="00376F57">
        <w:t>due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part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socioeconomic</w:t>
      </w:r>
      <w:r w:rsidR="00883178">
        <w:t xml:space="preserve"> </w:t>
      </w:r>
      <w:r w:rsidRPr="00376F57">
        <w:t>inequality,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norms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intrinsic</w:t>
      </w:r>
      <w:r w:rsidR="00883178">
        <w:t xml:space="preserve"> </w:t>
      </w:r>
      <w:r w:rsidRPr="00376F57">
        <w:t>psychological</w:t>
      </w:r>
      <w:r w:rsidR="00883178">
        <w:t xml:space="preserve"> </w:t>
      </w:r>
      <w:r w:rsidRPr="00376F57">
        <w:t>factors.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also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urgent</w:t>
      </w:r>
      <w:r w:rsidR="00883178">
        <w:t xml:space="preserve"> </w:t>
      </w:r>
      <w:r w:rsidRPr="00376F57">
        <w:t>need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medical</w:t>
      </w:r>
      <w:r w:rsidR="00883178">
        <w:t xml:space="preserve"> </w:t>
      </w:r>
      <w:r w:rsidRPr="00376F57">
        <w:t>education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prioritize</w:t>
      </w:r>
      <w:r w:rsidR="00883178">
        <w:t xml:space="preserve"> </w:t>
      </w:r>
      <w:r w:rsidRPr="00376F57">
        <w:t>today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emerging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public</w:t>
      </w:r>
      <w:r w:rsidR="00883178">
        <w:t xml:space="preserve"> </w:t>
      </w:r>
      <w:r w:rsidRPr="00376F57">
        <w:t>health</w:t>
      </w:r>
      <w:r w:rsidR="00883178">
        <w:t xml:space="preserve"> </w:t>
      </w:r>
      <w:r w:rsidRPr="00376F57">
        <w:t>issues,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rPr>
          <w:color w:val="000000" w:themeColor="text1"/>
        </w:rPr>
        <w:t>climate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change.</w:t>
      </w:r>
      <w:r w:rsidRPr="00376F57">
        <w:rPr>
          <w:rStyle w:val="FootnoteReference"/>
        </w:rPr>
        <w:footnoteReference w:id="34"/>
      </w:r>
    </w:p>
    <w:p w14:paraId="3A3BA808" w14:textId="6FCB2D8D" w:rsidR="00F36E7C" w:rsidRPr="00376F57" w:rsidRDefault="00F36E7C" w:rsidP="00F36E7C">
      <w:pPr>
        <w:pStyle w:val="ParaNoG"/>
      </w:pPr>
      <w:r w:rsidRPr="00376F57">
        <w:rPr>
          <w:b/>
          <w:bCs/>
        </w:rPr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development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examined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national</w:t>
      </w:r>
      <w:r w:rsidR="00883178">
        <w:t xml:space="preserve"> </w:t>
      </w:r>
      <w:r w:rsidRPr="00376F57">
        <w:t>level,</w:t>
      </w:r>
      <w:r w:rsidR="00883178">
        <w:t xml:space="preserve"> </w:t>
      </w:r>
      <w:r w:rsidRPr="00376F57">
        <w:t>identifying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one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trends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posed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challenge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implementation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development.</w:t>
      </w:r>
      <w:r w:rsidRPr="00376F57">
        <w:rPr>
          <w:rStyle w:val="FootnoteReference"/>
        </w:rPr>
        <w:footnoteReference w:id="35"/>
      </w:r>
    </w:p>
    <w:p w14:paraId="1DAA0217" w14:textId="1BC3D297" w:rsidR="00F36E7C" w:rsidRPr="00376F57" w:rsidRDefault="00F36E7C" w:rsidP="00F36E7C">
      <w:pPr>
        <w:pStyle w:val="ParaNoG"/>
      </w:pPr>
      <w:r w:rsidRPr="00376F57">
        <w:rPr>
          <w:b/>
          <w:bCs/>
        </w:rPr>
        <w:t>Rights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freedom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association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and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assembly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ability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individuals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mobilize,</w:t>
      </w:r>
      <w:r w:rsidR="00883178">
        <w:t xml:space="preserve"> </w:t>
      </w:r>
      <w:r w:rsidRPr="00376F57">
        <w:t>organize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connect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contribute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shaping</w:t>
      </w:r>
      <w:r w:rsidR="00883178">
        <w:t xml:space="preserve"> </w:t>
      </w:r>
      <w:r w:rsidRPr="00376F57">
        <w:t>public</w:t>
      </w:r>
      <w:r w:rsidR="00883178">
        <w:t xml:space="preserve"> </w:t>
      </w:r>
      <w:r w:rsidRPr="00376F57">
        <w:t>opinion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decision-making</w:t>
      </w:r>
      <w:r w:rsidR="00883178">
        <w:t xml:space="preserve"> </w:t>
      </w:r>
      <w:r w:rsidRPr="00376F57">
        <w:t>without</w:t>
      </w:r>
      <w:r w:rsidR="00883178">
        <w:t xml:space="preserve"> </w:t>
      </w:r>
      <w:r w:rsidRPr="00376F57">
        <w:t>fear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essential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production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effective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just</w:t>
      </w:r>
      <w:r w:rsidR="00883178">
        <w:t xml:space="preserve"> </w:t>
      </w:r>
      <w:r w:rsidRPr="00376F57">
        <w:t>transitions.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freedom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peaceful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association</w:t>
      </w:r>
      <w:r w:rsidR="00883178">
        <w:t xml:space="preserve"> </w:t>
      </w:r>
      <w:r w:rsidRPr="00376F57">
        <w:t>stated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ensuring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contributions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rPr>
          <w:color w:val="000000" w:themeColor="text1"/>
        </w:rPr>
        <w:t>made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required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full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enjoyment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the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rights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to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freedom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peaceful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assembly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and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of</w:t>
      </w:r>
      <w:r w:rsidR="00883178">
        <w:rPr>
          <w:color w:val="000000" w:themeColor="text1"/>
        </w:rPr>
        <w:t xml:space="preserve"> </w:t>
      </w:r>
      <w:r w:rsidRPr="00376F57">
        <w:rPr>
          <w:color w:val="000000" w:themeColor="text1"/>
        </w:rPr>
        <w:t>association.</w:t>
      </w:r>
      <w:r w:rsidRPr="00376F57">
        <w:rPr>
          <w:rStyle w:val="FootnoteReference"/>
        </w:rPr>
        <w:footnoteReference w:id="36"/>
      </w:r>
    </w:p>
    <w:p w14:paraId="1E1EF543" w14:textId="29DB85CA" w:rsidR="00F36E7C" w:rsidRPr="00376F57" w:rsidRDefault="00F36E7C" w:rsidP="00F36E7C">
      <w:pPr>
        <w:pStyle w:val="ParaNoG"/>
        <w:rPr>
          <w:u w:val="single"/>
        </w:rPr>
      </w:pPr>
      <w:r w:rsidRPr="00376F57">
        <w:rPr>
          <w:b/>
          <w:bCs/>
        </w:rPr>
        <w:t>Right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to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participation</w:t>
      </w:r>
      <w:r w:rsidRPr="00376F57">
        <w:t>.</w:t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stressed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importance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participation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inclusion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recommended</w:t>
      </w:r>
      <w:r w:rsidR="00883178">
        <w:t xml:space="preserve"> </w:t>
      </w:r>
      <w:r w:rsidRPr="00376F57">
        <w:t>that</w:t>
      </w:r>
      <w:r w:rsidR="00883178">
        <w:rPr>
          <w:color w:val="000000"/>
        </w:rPr>
        <w:t xml:space="preserve"> </w:t>
      </w:r>
      <w:r w:rsidRPr="00376F57">
        <w:t>Governments</w:t>
      </w:r>
      <w:r w:rsidR="00883178">
        <w:t xml:space="preserve"> </w:t>
      </w:r>
      <w:r w:rsidRPr="00376F57">
        <w:t>widen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civic</w:t>
      </w:r>
      <w:r w:rsidR="00883178">
        <w:t xml:space="preserve"> </w:t>
      </w:r>
      <w:r w:rsidRPr="00376F57">
        <w:t>space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allow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democratic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meaningful</w:t>
      </w:r>
      <w:r w:rsidR="00883178">
        <w:t xml:space="preserve"> </w:t>
      </w:r>
      <w:r w:rsidRPr="00376F57">
        <w:t>participation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stakeholders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multilateral</w:t>
      </w:r>
      <w:r w:rsidR="00883178">
        <w:t xml:space="preserve"> </w:t>
      </w:r>
      <w:r w:rsidRPr="00376F57">
        <w:t>processes,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related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Green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Fund</w:t>
      </w:r>
      <w:r w:rsidR="00883178">
        <w:t xml:space="preserve"> </w:t>
      </w:r>
      <w:r w:rsidRPr="00376F57">
        <w:t>should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directly</w:t>
      </w:r>
      <w:r w:rsidR="00883178">
        <w:t xml:space="preserve"> </w:t>
      </w:r>
      <w:r w:rsidRPr="00376F57">
        <w:t>accessible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community-based</w:t>
      </w:r>
      <w:r w:rsidR="00883178">
        <w:t xml:space="preserve"> </w:t>
      </w:r>
      <w:r w:rsidRPr="00376F57">
        <w:t>stakeholders.</w:t>
      </w:r>
      <w:r w:rsidR="00883178">
        <w:t xml:space="preserve"> </w:t>
      </w:r>
      <w:r w:rsidRPr="00376F57">
        <w:t>Similarly,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freedom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peaceful</w:t>
      </w:r>
      <w:r w:rsidR="00883178">
        <w:t xml:space="preserve"> </w:t>
      </w:r>
      <w:r w:rsidRPr="00376F57">
        <w:t>assembly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association</w:t>
      </w:r>
      <w:r w:rsidR="00883178">
        <w:t xml:space="preserve"> </w:t>
      </w:r>
      <w:r w:rsidRPr="00376F57">
        <w:t>stressed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participation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community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civil</w:t>
      </w:r>
      <w:r w:rsidR="00883178">
        <w:t xml:space="preserve"> </w:t>
      </w:r>
      <w:r w:rsidRPr="00376F57">
        <w:t>society</w:t>
      </w:r>
      <w:r w:rsidR="00883178">
        <w:t xml:space="preserve"> </w:t>
      </w:r>
      <w:r w:rsidRPr="00376F57">
        <w:t>actors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essential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effective</w:t>
      </w:r>
      <w:r w:rsidR="00883178">
        <w:t xml:space="preserve"> </w:t>
      </w:r>
      <w:r w:rsidRPr="00376F57">
        <w:t>adoption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implementation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integrated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plans</w:t>
      </w:r>
      <w:r w:rsidR="00883178">
        <w:t xml:space="preserve"> </w:t>
      </w:r>
      <w:r w:rsidRPr="00376F57">
        <w:t>towards</w:t>
      </w:r>
      <w:r w:rsidR="00883178">
        <w:t xml:space="preserve"> </w:t>
      </w:r>
      <w:r w:rsidRPr="00376F57">
        <w:t>inclusion,</w:t>
      </w:r>
      <w:r w:rsidR="00883178">
        <w:t xml:space="preserve"> </w:t>
      </w:r>
      <w:r w:rsidRPr="00376F57">
        <w:t>resource</w:t>
      </w:r>
      <w:r w:rsidR="00883178">
        <w:t xml:space="preserve"> </w:t>
      </w:r>
      <w:r w:rsidRPr="00376F57">
        <w:t>efficiency,</w:t>
      </w:r>
      <w:r w:rsidR="00883178">
        <w:t xml:space="preserve"> </w:t>
      </w:r>
      <w:r w:rsidRPr="00376F57">
        <w:t>mitigation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disasters.</w:t>
      </w:r>
      <w:r w:rsidRPr="00376F57">
        <w:rPr>
          <w:rStyle w:val="FootnoteReference"/>
        </w:rPr>
        <w:footnoteReference w:id="37"/>
      </w:r>
    </w:p>
    <w:p w14:paraId="24B3DB11" w14:textId="21E00C43" w:rsidR="00F36E7C" w:rsidRPr="00376F57" w:rsidRDefault="00F36E7C" w:rsidP="00FE159F">
      <w:pPr>
        <w:pStyle w:val="H1G"/>
        <w:outlineLvl w:val="1"/>
      </w:pPr>
      <w:bookmarkStart w:id="22" w:name="_Toc104789001"/>
      <w:r w:rsidRPr="00376F57">
        <w:tab/>
        <w:t>B.</w:t>
      </w:r>
      <w:r w:rsidRPr="00376F57">
        <w:tab/>
        <w:t>Specific</w:t>
      </w:r>
      <w:r w:rsidR="00883178">
        <w:t xml:space="preserve"> </w:t>
      </w:r>
      <w:r w:rsidRPr="00376F57">
        <w:t>groups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bookmarkEnd w:id="22"/>
      <w:r w:rsidR="00883178">
        <w:t xml:space="preserve"> </w:t>
      </w:r>
    </w:p>
    <w:p w14:paraId="22E7D8D8" w14:textId="4FE027E2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addition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direct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indirect</w:t>
      </w:r>
      <w:r w:rsidR="00883178">
        <w:t xml:space="preserve"> </w:t>
      </w:r>
      <w:r w:rsidRPr="00376F57">
        <w:t>consequences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further</w:t>
      </w:r>
      <w:r w:rsidR="00883178">
        <w:t xml:space="preserve"> </w:t>
      </w:r>
      <w:r w:rsidRPr="00376F57">
        <w:t>determined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exacerbated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non-climatic</w:t>
      </w:r>
      <w:r w:rsidR="00883178">
        <w:t xml:space="preserve"> </w:t>
      </w:r>
      <w:r w:rsidRPr="00376F57">
        <w:t>factors,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discrimination,</w:t>
      </w:r>
      <w:r w:rsidR="00883178">
        <w:t xml:space="preserve"> </w:t>
      </w:r>
      <w:r w:rsidRPr="00376F57">
        <w:t>inequality,</w:t>
      </w:r>
      <w:r w:rsidR="00883178">
        <w:t xml:space="preserve"> </w:t>
      </w:r>
      <w:r w:rsidRPr="00376F57">
        <w:t>unequal</w:t>
      </w:r>
      <w:r w:rsidR="00883178">
        <w:t xml:space="preserve"> </w:t>
      </w:r>
      <w:r w:rsidRPr="00376F57">
        <w:t>power</w:t>
      </w:r>
      <w:r w:rsidR="00883178">
        <w:t xml:space="preserve"> </w:t>
      </w:r>
      <w:r w:rsidRPr="00376F57">
        <w:t>relationships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vulnerability.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disproportionate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felt</w:t>
      </w:r>
      <w:r w:rsidR="00883178">
        <w:t xml:space="preserve"> </w:t>
      </w:r>
      <w:r w:rsidRPr="00376F57">
        <w:t>most</w:t>
      </w:r>
      <w:r w:rsidR="00883178">
        <w:t xml:space="preserve"> </w:t>
      </w:r>
      <w:r w:rsidRPr="00376F57">
        <w:t>acutely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who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situations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most</w:t>
      </w:r>
      <w:r w:rsidR="00883178">
        <w:t xml:space="preserve"> </w:t>
      </w:r>
      <w:r w:rsidRPr="00376F57">
        <w:t>sensitive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Some</w:t>
      </w:r>
      <w:r w:rsidR="00883178">
        <w:t xml:space="preserve"> </w:t>
      </w:r>
      <w:r w:rsidRPr="00376F57">
        <w:t>studies</w:t>
      </w:r>
      <w:r w:rsidR="00883178">
        <w:t xml:space="preserve"> </w:t>
      </w:r>
      <w:r w:rsidRPr="00376F57">
        <w:t>undertaken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bodies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focused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specific</w:t>
      </w:r>
      <w:r w:rsidR="00883178">
        <w:t xml:space="preserve"> </w:t>
      </w:r>
      <w:r w:rsidRPr="00376F57">
        <w:t>groups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populations</w:t>
      </w:r>
      <w:r w:rsidR="00883178">
        <w:t xml:space="preserve"> </w:t>
      </w:r>
      <w:r w:rsidRPr="00376F57">
        <w:t>who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disproportionately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33769CC1" w14:textId="49E6A6E3" w:rsidR="00F36E7C" w:rsidRPr="00376F57" w:rsidRDefault="00F36E7C" w:rsidP="00F36E7C">
      <w:pPr>
        <w:pStyle w:val="ParaNoG"/>
      </w:pPr>
      <w:r w:rsidRPr="00376F57">
        <w:rPr>
          <w:b/>
          <w:bCs/>
        </w:rPr>
        <w:t>Women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and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girls</w:t>
      </w:r>
      <w:r w:rsidRPr="00376F57">
        <w:t>.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girls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often</w:t>
      </w:r>
      <w:r w:rsidR="00883178">
        <w:t xml:space="preserve"> </w:t>
      </w:r>
      <w:r w:rsidRPr="00376F57">
        <w:t>disproportionally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negative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owing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pre-existing,</w:t>
      </w:r>
      <w:r w:rsidR="00883178">
        <w:t xml:space="preserve"> </w:t>
      </w:r>
      <w:r w:rsidRPr="00376F57">
        <w:t>deep-rooted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persisting</w:t>
      </w:r>
      <w:r w:rsidR="00883178">
        <w:t xml:space="preserve"> </w:t>
      </w:r>
      <w:r w:rsidRPr="00376F57">
        <w:t>gender</w:t>
      </w:r>
      <w:r w:rsidR="00883178">
        <w:t xml:space="preserve"> </w:t>
      </w:r>
      <w:r w:rsidRPr="00376F57">
        <w:lastRenderedPageBreak/>
        <w:t>inequalities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discrimination.</w:t>
      </w:r>
      <w:r w:rsidR="00883178">
        <w:t xml:space="preserve"> </w:t>
      </w:r>
      <w:bookmarkStart w:id="23" w:name="_Hlk106560292"/>
      <w:r w:rsidRPr="00376F57">
        <w:t>Gender-responsive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action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full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effective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highlighted.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her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violence</w:t>
      </w:r>
      <w:r w:rsidR="00883178">
        <w:t xml:space="preserve"> </w:t>
      </w:r>
      <w:r w:rsidRPr="00376F57">
        <w:t>against</w:t>
      </w:r>
      <w:r w:rsidR="00883178">
        <w:t xml:space="preserve"> </w:t>
      </w:r>
      <w:r w:rsidRPr="00376F57">
        <w:t>women,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causes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consequences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consider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aggravator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gender-based</w:t>
      </w:r>
      <w:r w:rsidR="00883178">
        <w:t xml:space="preserve"> </w:t>
      </w:r>
      <w:r w:rsidRPr="00376F57">
        <w:t>violence</w:t>
      </w:r>
      <w:r w:rsidR="00883178">
        <w:t xml:space="preserve"> </w:t>
      </w:r>
      <w:r w:rsidRPr="00376F57">
        <w:t>against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girls</w:t>
      </w:r>
      <w:bookmarkEnd w:id="23"/>
      <w:r w:rsidRPr="00376F57">
        <w:t>.</w:t>
      </w:r>
      <w:r w:rsidRPr="00376F57">
        <w:rPr>
          <w:rStyle w:val="FootnoteReference"/>
        </w:rPr>
        <w:footnoteReference w:id="38"/>
      </w:r>
      <w:r w:rsidR="00883178">
        <w:rPr>
          <w:sz w:val="16"/>
          <w:szCs w:val="16"/>
        </w:rPr>
        <w:t xml:space="preserve"> </w:t>
      </w:r>
    </w:p>
    <w:p w14:paraId="68685A1F" w14:textId="6E261484" w:rsidR="00F36E7C" w:rsidRPr="00376F57" w:rsidRDefault="00F36E7C" w:rsidP="00F36E7C">
      <w:pPr>
        <w:pStyle w:val="ParaNoG"/>
        <w:rPr>
          <w:u w:val="single"/>
        </w:rPr>
      </w:pPr>
      <w:bookmarkStart w:id="24" w:name="_Hlk104476547"/>
      <w:r w:rsidRPr="00376F57">
        <w:rPr>
          <w:b/>
          <w:bCs/>
        </w:rPr>
        <w:t>Victims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contemporary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forms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slavery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and/or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trafficking</w:t>
      </w:r>
      <w:r w:rsidRPr="00376F57">
        <w:t>.</w:t>
      </w:r>
      <w:r w:rsidR="00883178">
        <w:t xml:space="preserve"> </w:t>
      </w:r>
      <w:bookmarkEnd w:id="24"/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contemporary</w:t>
      </w:r>
      <w:r w:rsidR="00883178">
        <w:t xml:space="preserve"> </w:t>
      </w:r>
      <w:r w:rsidRPr="00376F57">
        <w:t>forms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slavery,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causes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consequences,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geography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contemporary</w:t>
      </w:r>
      <w:r w:rsidR="00883178">
        <w:t xml:space="preserve"> </w:t>
      </w:r>
      <w:r w:rsidRPr="00376F57">
        <w:t>forms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slavery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be</w:t>
      </w:r>
      <w:r w:rsidR="00883178">
        <w:t xml:space="preserve"> </w:t>
      </w:r>
      <w:r w:rsidRPr="00376F57">
        <w:t>heavily</w:t>
      </w:r>
      <w:r w:rsidR="00883178">
        <w:t xml:space="preserve"> </w:t>
      </w:r>
      <w:r w:rsidRPr="00376F57">
        <w:t>impacted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exposure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natural</w:t>
      </w:r>
      <w:r w:rsidR="00883178">
        <w:t xml:space="preserve"> </w:t>
      </w:r>
      <w:r w:rsidRPr="00376F57">
        <w:t>disasters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emerging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possible</w:t>
      </w:r>
      <w:r w:rsidR="00883178">
        <w:t xml:space="preserve"> </w:t>
      </w:r>
      <w:r w:rsidRPr="00376F57">
        <w:t>risk</w:t>
      </w:r>
      <w:r w:rsidR="00883178">
        <w:t xml:space="preserve"> </w:t>
      </w:r>
      <w:r w:rsidRPr="00376F57">
        <w:t>factor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reorganizing</w:t>
      </w:r>
      <w:r w:rsidR="00883178">
        <w:t xml:space="preserve"> </w:t>
      </w:r>
      <w:r w:rsidRPr="00376F57">
        <w:t>force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contemporary</w:t>
      </w:r>
      <w:r w:rsidR="00883178">
        <w:t xml:space="preserve"> </w:t>
      </w:r>
      <w:r w:rsidRPr="00376F57">
        <w:t>forms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slavery.</w:t>
      </w:r>
      <w:r w:rsidRPr="00376F57">
        <w:rPr>
          <w:rStyle w:val="FootnoteReference"/>
        </w:rPr>
        <w:footnoteReference w:id="39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trafficking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persons,</w:t>
      </w:r>
      <w:r w:rsidR="00883178">
        <w:t xml:space="preserve"> </w:t>
      </w:r>
      <w:r w:rsidRPr="00376F57">
        <w:t>especially</w:t>
      </w:r>
      <w:r w:rsidR="00883178">
        <w:t xml:space="preserve"> </w:t>
      </w:r>
      <w:r w:rsidRPr="00376F57">
        <w:t>women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children,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presently</w:t>
      </w:r>
      <w:r w:rsidR="00883178">
        <w:t xml:space="preserve"> </w:t>
      </w:r>
      <w:r w:rsidRPr="00376F57">
        <w:t>preparing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legal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policy</w:t>
      </w:r>
      <w:r w:rsidR="00883178">
        <w:t xml:space="preserve"> </w:t>
      </w:r>
      <w:r w:rsidRPr="00376F57">
        <w:t>responses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addressing</w:t>
      </w:r>
      <w:r w:rsidR="00883178">
        <w:t xml:space="preserve"> </w:t>
      </w:r>
      <w:r w:rsidRPr="00376F57">
        <w:t>risks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trafficking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persons,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presentation</w:t>
      </w:r>
      <w:r w:rsidR="00883178">
        <w:t xml:space="preserve"> </w:t>
      </w:r>
      <w:r w:rsidRPr="00376F57">
        <w:t>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Assembly.</w:t>
      </w:r>
      <w:r w:rsidRPr="00376F57">
        <w:rPr>
          <w:rStyle w:val="FootnoteReference"/>
        </w:rPr>
        <w:footnoteReference w:id="40"/>
      </w:r>
      <w:r w:rsidR="00883178">
        <w:t xml:space="preserve"> </w:t>
      </w:r>
    </w:p>
    <w:p w14:paraId="06565871" w14:textId="1B95E731" w:rsidR="00F36E7C" w:rsidRPr="00376F57" w:rsidRDefault="00F36E7C" w:rsidP="00F36E7C">
      <w:pPr>
        <w:pStyle w:val="ParaNoG"/>
      </w:pPr>
      <w:r w:rsidRPr="00376F57">
        <w:rPr>
          <w:b/>
          <w:bCs/>
        </w:rPr>
        <w:t>Internally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displaced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persons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and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migrants</w:t>
      </w:r>
      <w:r w:rsidRPr="00376F57">
        <w:t>.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one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drivers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forced</w:t>
      </w:r>
      <w:r w:rsidR="00883178">
        <w:t xml:space="preserve"> </w:t>
      </w:r>
      <w:r w:rsidRPr="00376F57">
        <w:t>displacement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migration,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change-related</w:t>
      </w:r>
      <w:r w:rsidR="00883178">
        <w:t xml:space="preserve"> </w:t>
      </w:r>
      <w:r w:rsidRPr="00376F57">
        <w:t>conflicts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internally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migrants.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number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studies,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internally</w:t>
      </w:r>
      <w:r w:rsidR="00883178">
        <w:t xml:space="preserve"> </w:t>
      </w:r>
      <w:r w:rsidRPr="00376F57">
        <w:t>displaced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addressed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internal</w:t>
      </w:r>
      <w:r w:rsidR="00883178">
        <w:t xml:space="preserve"> </w:t>
      </w:r>
      <w:r w:rsidRPr="00376F57">
        <w:t>displacement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slow-onset</w:t>
      </w:r>
      <w:r w:rsidR="00883178">
        <w:t xml:space="preserve"> </w:t>
      </w:r>
      <w:r w:rsidRPr="00376F57">
        <w:t>adverse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Pr="00376F57">
        <w:rPr>
          <w:rStyle w:val="FootnoteReference"/>
        </w:rPr>
        <w:footnoteReference w:id="41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former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migrants</w:t>
      </w:r>
      <w:r w:rsidR="00883178">
        <w:t xml:space="preserve"> </w:t>
      </w:r>
      <w:r w:rsidRPr="00376F57">
        <w:t>addressed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consequences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migration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previous</w:t>
      </w:r>
      <w:r w:rsidR="00883178">
        <w:t xml:space="preserve"> </w:t>
      </w:r>
      <w:r w:rsidRPr="00376F57">
        <w:t>report,</w:t>
      </w:r>
      <w:r w:rsidRPr="00376F57">
        <w:rPr>
          <w:rStyle w:val="FootnoteReference"/>
        </w:rPr>
        <w:footnoteReference w:id="42"/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current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holder,</w:t>
      </w:r>
      <w:r w:rsidR="00883178">
        <w:t xml:space="preserve"> </w:t>
      </w:r>
      <w:r w:rsidRPr="00376F57">
        <w:t>building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report,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re-examine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topic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his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Assembly.</w:t>
      </w:r>
      <w:r w:rsidRPr="00376F57">
        <w:rPr>
          <w:rStyle w:val="FootnoteReference"/>
        </w:rPr>
        <w:footnoteReference w:id="43"/>
      </w:r>
      <w:r w:rsidR="00883178">
        <w:t xml:space="preserve"> </w:t>
      </w:r>
    </w:p>
    <w:p w14:paraId="398BA039" w14:textId="5FEC1C59" w:rsidR="00F36E7C" w:rsidRPr="00376F57" w:rsidRDefault="00F36E7C" w:rsidP="00F36E7C">
      <w:pPr>
        <w:pStyle w:val="ParaNoG"/>
      </w:pPr>
      <w:r w:rsidRPr="00376F57">
        <w:rPr>
          <w:b/>
          <w:bCs/>
        </w:rPr>
        <w:t>Working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Group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Experts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People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of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African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Descent</w:t>
      </w:r>
      <w:r w:rsidRPr="00376F57">
        <w:t>.</w:t>
      </w:r>
      <w:r w:rsidR="00883178">
        <w:t xml:space="preserve"> </w:t>
      </w:r>
      <w:r w:rsidRPr="00376F57">
        <w:t>Peoples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communities</w:t>
      </w:r>
      <w:r w:rsidR="00883178">
        <w:t xml:space="preserve"> </w:t>
      </w:r>
      <w:r w:rsidRPr="00376F57">
        <w:t>historically</w:t>
      </w:r>
      <w:r w:rsidR="00883178">
        <w:t xml:space="preserve"> </w:t>
      </w:r>
      <w:r w:rsidRPr="00376F57">
        <w:t>subject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exploitation</w:t>
      </w:r>
      <w:r w:rsidR="00883178">
        <w:t xml:space="preserve"> </w:t>
      </w:r>
      <w:r w:rsidRPr="00376F57">
        <w:t>continue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bear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brunt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pollution,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degradation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provides</w:t>
      </w:r>
      <w:r w:rsidR="00883178">
        <w:t xml:space="preserve"> </w:t>
      </w:r>
      <w:r w:rsidRPr="00376F57">
        <w:t>guidance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effectively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injustice,</w:t>
      </w:r>
      <w:r w:rsidR="00883178">
        <w:t xml:space="preserve"> </w:t>
      </w:r>
      <w:r w:rsidRPr="00376F57">
        <w:t>racial</w:t>
      </w:r>
      <w:r w:rsidR="00883178">
        <w:t xml:space="preserve"> </w:t>
      </w:r>
      <w:r w:rsidRPr="00376F57">
        <w:t>disparities,</w:t>
      </w:r>
      <w:r w:rsidR="00883178">
        <w:t xml:space="preserve"> </w:t>
      </w:r>
      <w:r w:rsidRPr="00376F57">
        <w:t>unequal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unique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crisis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racism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people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African</w:t>
      </w:r>
      <w:r w:rsidR="00883178">
        <w:t xml:space="preserve"> </w:t>
      </w:r>
      <w:r w:rsidRPr="00376F57">
        <w:t>descent.</w:t>
      </w:r>
      <w:r w:rsidRPr="00376F57">
        <w:rPr>
          <w:rStyle w:val="FootnoteReference"/>
        </w:rPr>
        <w:footnoteReference w:id="44"/>
      </w:r>
      <w:r w:rsidR="00883178">
        <w:t xml:space="preserve"> </w:t>
      </w:r>
    </w:p>
    <w:p w14:paraId="3C8E74E3" w14:textId="64A77864" w:rsidR="00F36E7C" w:rsidRPr="00376F57" w:rsidRDefault="00F36E7C" w:rsidP="00F36E7C">
      <w:pPr>
        <w:pStyle w:val="ParaNoG"/>
      </w:pPr>
      <w:r w:rsidRPr="00376F57">
        <w:rPr>
          <w:b/>
          <w:bCs/>
        </w:rPr>
        <w:t>Racially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marginalized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groups</w:t>
      </w:r>
      <w:r w:rsidRPr="00376F57">
        <w:t>.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her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seventy-seventh</w:t>
      </w:r>
      <w:r w:rsidR="00883178">
        <w:t xml:space="preserve"> </w:t>
      </w:r>
      <w:r w:rsidRPr="00376F57">
        <w:t>session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</w:t>
      </w:r>
      <w:r w:rsidR="00883178">
        <w:t xml:space="preserve"> </w:t>
      </w:r>
      <w:r w:rsidRPr="00376F57">
        <w:t>Assembly,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contemporary</w:t>
      </w:r>
      <w:r w:rsidR="00883178">
        <w:t xml:space="preserve"> </w:t>
      </w:r>
      <w:r w:rsidRPr="00376F57">
        <w:t>forms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racism,</w:t>
      </w:r>
      <w:r w:rsidR="00883178">
        <w:t xml:space="preserve"> </w:t>
      </w:r>
      <w:r w:rsidRPr="00376F57">
        <w:t>racial</w:t>
      </w:r>
      <w:r w:rsidR="00883178">
        <w:t xml:space="preserve"> </w:t>
      </w:r>
      <w:r w:rsidRPr="00376F57">
        <w:t>discrimination,</w:t>
      </w:r>
      <w:r w:rsidR="00883178">
        <w:t xml:space="preserve"> </w:t>
      </w:r>
      <w:r w:rsidRPr="00376F57">
        <w:t>xenophobia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related</w:t>
      </w:r>
      <w:r w:rsidR="00883178">
        <w:t xml:space="preserve"> </w:t>
      </w:r>
      <w:r w:rsidRPr="00376F57">
        <w:t>intolerance</w:t>
      </w:r>
      <w:r w:rsidR="00883178">
        <w:t xml:space="preserve"> </w:t>
      </w:r>
      <w:r w:rsidRPr="00376F57">
        <w:t>will</w:t>
      </w:r>
      <w:r w:rsidR="00883178">
        <w:t xml:space="preserve"> </w:t>
      </w:r>
      <w:r w:rsidRPr="00376F57">
        <w:t>present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analysis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challenges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limits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current</w:t>
      </w:r>
      <w:r w:rsidR="00883178">
        <w:t xml:space="preserve"> </w:t>
      </w:r>
      <w:r w:rsidRPr="00376F57">
        <w:t>United</w:t>
      </w:r>
      <w:r w:rsidR="00883178">
        <w:t xml:space="preserve"> </w:t>
      </w:r>
      <w:r w:rsidRPr="00376F57">
        <w:t>Nations</w:t>
      </w:r>
      <w:r w:rsidR="00883178">
        <w:t xml:space="preserve"> </w:t>
      </w:r>
      <w:r w:rsidRPr="00376F57">
        <w:t>framework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its</w:t>
      </w:r>
      <w:r w:rsidR="00883178">
        <w:t xml:space="preserve"> </w:t>
      </w:r>
      <w:r w:rsidRPr="00376F57">
        <w:t>ability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remedy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harm,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regard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continuing</w:t>
      </w:r>
      <w:r w:rsidR="00883178">
        <w:t xml:space="preserve"> </w:t>
      </w:r>
      <w:r w:rsidRPr="00376F57">
        <w:t>legacies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extractivism,</w:t>
      </w:r>
      <w:r w:rsidR="00883178">
        <w:t xml:space="preserve"> </w:t>
      </w:r>
      <w:r w:rsidRPr="00376F57">
        <w:t>imperialism,</w:t>
      </w:r>
      <w:r w:rsidR="00883178">
        <w:t xml:space="preserve"> </w:t>
      </w:r>
      <w:r w:rsidRPr="00376F57">
        <w:t>colonialism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historical</w:t>
      </w:r>
      <w:r w:rsidR="00883178">
        <w:t xml:space="preserve"> </w:t>
      </w:r>
      <w:r w:rsidRPr="00376F57">
        <w:t>racial</w:t>
      </w:r>
      <w:r w:rsidR="00883178">
        <w:t xml:space="preserve"> </w:t>
      </w:r>
      <w:r w:rsidRPr="00376F57">
        <w:t>injustices.</w:t>
      </w:r>
      <w:r w:rsidRPr="00376F57">
        <w:rPr>
          <w:rStyle w:val="FootnoteReference"/>
        </w:rPr>
        <w:footnoteReference w:id="45"/>
      </w:r>
    </w:p>
    <w:p w14:paraId="4026FB90" w14:textId="738CA3F3" w:rsidR="00F36E7C" w:rsidRPr="00376F57" w:rsidRDefault="00F36E7C" w:rsidP="00F36E7C">
      <w:pPr>
        <w:pStyle w:val="ParaNoG"/>
      </w:pPr>
      <w:r w:rsidRPr="00376F57">
        <w:rPr>
          <w:b/>
          <w:bCs/>
        </w:rPr>
        <w:t>Minority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communities</w:t>
      </w:r>
      <w:r w:rsidRPr="00376F57">
        <w:t>.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can</w:t>
      </w:r>
      <w:r w:rsidR="00883178">
        <w:t xml:space="preserve"> </w:t>
      </w:r>
      <w:r w:rsidRPr="00376F57">
        <w:t>aggravate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frequency,</w:t>
      </w:r>
      <w:r w:rsidR="00883178">
        <w:t xml:space="preserve"> </w:t>
      </w:r>
      <w:r w:rsidRPr="00376F57">
        <w:t>complexity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severity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crises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populations,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particular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minority</w:t>
      </w:r>
      <w:r w:rsidR="00883178">
        <w:t xml:space="preserve"> </w:t>
      </w:r>
      <w:r w:rsidRPr="00376F57">
        <w:t>communities.</w:t>
      </w:r>
      <w:r w:rsidRPr="00376F57">
        <w:rPr>
          <w:rStyle w:val="FootnoteReference"/>
        </w:rPr>
        <w:footnoteReference w:id="46"/>
      </w:r>
    </w:p>
    <w:p w14:paraId="328D87A6" w14:textId="12F1922B" w:rsidR="00F36E7C" w:rsidRPr="00376F57" w:rsidRDefault="00F36E7C" w:rsidP="00F36E7C">
      <w:pPr>
        <w:pStyle w:val="ParaNoG"/>
      </w:pPr>
      <w:r w:rsidRPr="00376F57">
        <w:rPr>
          <w:b/>
          <w:bCs/>
        </w:rPr>
        <w:t>Indigenous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peoples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</w:t>
      </w:r>
      <w:r w:rsidR="00883178">
        <w:t xml:space="preserve"> </w:t>
      </w:r>
      <w:r w:rsidRPr="00376F57">
        <w:t>conducted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study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finance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</w:t>
      </w:r>
      <w:r w:rsidR="00454838" w:rsidRPr="00376F57">
        <w:t>’</w:t>
      </w:r>
      <w:r w:rsidR="00883178">
        <w:t xml:space="preserve"> </w:t>
      </w:r>
      <w:r w:rsidRPr="00376F57">
        <w:t>rights.</w:t>
      </w:r>
      <w:r w:rsidRPr="00376F57">
        <w:rPr>
          <w:rStyle w:val="FootnoteReference"/>
        </w:rPr>
        <w:footnoteReference w:id="47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found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peoples</w:t>
      </w:r>
      <w:r w:rsidR="00454838" w:rsidRPr="00376F57">
        <w:t>’</w:t>
      </w:r>
      <w:r w:rsidR="00883178">
        <w:t xml:space="preserve"> </w:t>
      </w:r>
      <w:r w:rsidRPr="00376F57">
        <w:t>own</w:t>
      </w:r>
      <w:r w:rsidR="00883178">
        <w:t xml:space="preserve"> </w:t>
      </w:r>
      <w:r w:rsidRPr="00376F57">
        <w:t>strategies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lastRenderedPageBreak/>
        <w:t>sustainable</w:t>
      </w:r>
      <w:r w:rsidR="00883178">
        <w:t xml:space="preserve"> </w:t>
      </w:r>
      <w:r w:rsidRPr="00376F57">
        <w:t>development</w:t>
      </w:r>
      <w:r w:rsidR="00883178">
        <w:t xml:space="preserve"> </w:t>
      </w:r>
      <w:r w:rsidRPr="00376F57">
        <w:t>could</w:t>
      </w:r>
      <w:r w:rsidR="00883178">
        <w:t xml:space="preserve"> </w:t>
      </w:r>
      <w:r w:rsidRPr="00376F57">
        <w:t>play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indispensable</w:t>
      </w:r>
      <w:r w:rsidR="00883178">
        <w:t xml:space="preserve"> </w:t>
      </w:r>
      <w:r w:rsidRPr="00376F57">
        <w:t>role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overall</w:t>
      </w:r>
      <w:r w:rsidR="00883178">
        <w:t xml:space="preserve"> </w:t>
      </w:r>
      <w:r w:rsidRPr="00376F57">
        <w:t>global</w:t>
      </w:r>
      <w:r w:rsidR="00883178">
        <w:t xml:space="preserve"> </w:t>
      </w:r>
      <w:r w:rsidRPr="00376F57">
        <w:t>efforts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adapt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indigenous</w:t>
      </w:r>
      <w:r w:rsidR="00883178">
        <w:t xml:space="preserve"> </w:t>
      </w:r>
      <w:r w:rsidRPr="00376F57">
        <w:t>governance</w:t>
      </w:r>
      <w:r w:rsidR="00883178">
        <w:t xml:space="preserve"> </w:t>
      </w:r>
      <w:r w:rsidRPr="00376F57">
        <w:t>systems</w:t>
      </w:r>
      <w:r w:rsidR="00883178">
        <w:t xml:space="preserve"> </w:t>
      </w:r>
      <w:r w:rsidRPr="00376F57">
        <w:t>contributed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adaptation.</w:t>
      </w:r>
      <w:r w:rsidRPr="00376F57">
        <w:rPr>
          <w:rStyle w:val="FootnoteReference"/>
        </w:rPr>
        <w:footnoteReference w:id="48"/>
      </w:r>
      <w:r w:rsidR="00883178">
        <w:t xml:space="preserve"> </w:t>
      </w:r>
    </w:p>
    <w:p w14:paraId="7A99B7F4" w14:textId="13133285" w:rsidR="00F36E7C" w:rsidRPr="00376F57" w:rsidRDefault="00F36E7C" w:rsidP="00F36E7C">
      <w:pPr>
        <w:pStyle w:val="ParaNoG"/>
        <w:rPr>
          <w:rFonts w:eastAsiaTheme="minorEastAsia"/>
        </w:rPr>
      </w:pPr>
      <w:r w:rsidRPr="00376F57">
        <w:rPr>
          <w:b/>
          <w:bCs/>
        </w:rPr>
        <w:t>Children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safe,</w:t>
      </w:r>
      <w:r w:rsidR="00883178">
        <w:t xml:space="preserve"> </w:t>
      </w:r>
      <w:r w:rsidRPr="00376F57">
        <w:t>clean,</w:t>
      </w:r>
      <w:r w:rsidR="00883178">
        <w:t xml:space="preserve"> </w:t>
      </w:r>
      <w:r w:rsidRPr="00376F57">
        <w:t>healthy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t>environment</w:t>
      </w:r>
      <w:r w:rsidR="00883178">
        <w:t xml:space="preserve"> </w:t>
      </w:r>
      <w:r w:rsidRPr="00376F57">
        <w:t>highlighted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loss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biodiversity</w:t>
      </w:r>
      <w:r w:rsidR="00883178">
        <w:t xml:space="preserve"> </w:t>
      </w:r>
      <w:r w:rsidRPr="00376F57">
        <w:t>threatened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cause</w:t>
      </w:r>
      <w:r w:rsidR="00883178">
        <w:t xml:space="preserve"> </w:t>
      </w:r>
      <w:r w:rsidRPr="00376F57">
        <w:t>long-term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blight</w:t>
      </w:r>
      <w:r w:rsidR="00883178">
        <w:t xml:space="preserve"> </w:t>
      </w:r>
      <w:r w:rsidRPr="00376F57">
        <w:t>children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lives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years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come,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provided</w:t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recommendations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protect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promote</w:t>
      </w:r>
      <w:r w:rsidR="00883178">
        <w:t xml:space="preserve"> </w:t>
      </w:r>
      <w:r w:rsidRPr="00376F57">
        <w:t>children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protection.</w:t>
      </w:r>
      <w:r w:rsidRPr="00376F57">
        <w:rPr>
          <w:rStyle w:val="FootnoteReference"/>
        </w:rPr>
        <w:footnoteReference w:id="49"/>
      </w:r>
    </w:p>
    <w:p w14:paraId="763304DF" w14:textId="4F912596" w:rsidR="00F36E7C" w:rsidRPr="00376F57" w:rsidRDefault="00F36E7C" w:rsidP="00F36E7C">
      <w:pPr>
        <w:pStyle w:val="ParaNoG"/>
      </w:pPr>
      <w:r w:rsidRPr="00376F57">
        <w:rPr>
          <w:b/>
          <w:bCs/>
        </w:rPr>
        <w:t>Persons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with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disabilities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important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include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more</w:t>
      </w:r>
      <w:r w:rsidR="00883178">
        <w:t xml:space="preserve"> </w:t>
      </w:r>
      <w:r w:rsidRPr="00376F57">
        <w:t>specialized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technical</w:t>
      </w:r>
      <w:r w:rsidR="00883178">
        <w:t xml:space="preserve"> </w:t>
      </w:r>
      <w:r w:rsidRPr="00376F57">
        <w:t>areas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Government,</w:t>
      </w:r>
      <w:r w:rsidR="00883178">
        <w:t xml:space="preserve"> </w:t>
      </w:r>
      <w:r w:rsidRPr="00376F57">
        <w:t>such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because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with</w:t>
      </w:r>
      <w:r w:rsidR="00883178">
        <w:t xml:space="preserve"> </w:t>
      </w:r>
      <w:r w:rsidRPr="00376F57">
        <w:t>disabilities</w:t>
      </w:r>
      <w:r w:rsidR="00883178">
        <w:t xml:space="preserve"> </w:t>
      </w:r>
      <w:r w:rsidRPr="00376F57">
        <w:t>experienced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differently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more</w:t>
      </w:r>
      <w:r w:rsidR="00883178">
        <w:t xml:space="preserve"> </w:t>
      </w:r>
      <w:r w:rsidRPr="00376F57">
        <w:t>severely.</w:t>
      </w:r>
      <w:r w:rsidRPr="00376F57">
        <w:rPr>
          <w:rStyle w:val="FootnoteReference"/>
        </w:rPr>
        <w:footnoteReference w:id="50"/>
      </w:r>
    </w:p>
    <w:p w14:paraId="1E4EDB52" w14:textId="25CBCDB4" w:rsidR="00F36E7C" w:rsidRPr="00376F57" w:rsidRDefault="00F36E7C" w:rsidP="00F36E7C">
      <w:pPr>
        <w:pStyle w:val="ParaNoG"/>
      </w:pPr>
      <w:r w:rsidRPr="00376F57">
        <w:rPr>
          <w:b/>
          <w:bCs/>
        </w:rPr>
        <w:t>Older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persons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Independent</w:t>
      </w:r>
      <w:r w:rsidR="00883178">
        <w:t xml:space="preserve"> </w:t>
      </w:r>
      <w:r w:rsidRPr="00376F57">
        <w:t>Expert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older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generalization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older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vulnerable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need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from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disasters</w:t>
      </w:r>
      <w:r w:rsidR="00883178">
        <w:t xml:space="preserve"> </w:t>
      </w:r>
      <w:r w:rsidRPr="00376F57">
        <w:t>failed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recognize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important</w:t>
      </w:r>
      <w:r w:rsidR="00883178">
        <w:t xml:space="preserve"> </w:t>
      </w:r>
      <w:r w:rsidRPr="00376F57">
        <w:t>contribution</w:t>
      </w:r>
      <w:r w:rsidR="00883178">
        <w:t xml:space="preserve"> </w:t>
      </w:r>
      <w:r w:rsidRPr="00376F57">
        <w:t>they</w:t>
      </w:r>
      <w:r w:rsidR="00883178">
        <w:t xml:space="preserve"> </w:t>
      </w:r>
      <w:r w:rsidRPr="00376F57">
        <w:t>were</w:t>
      </w:r>
      <w:r w:rsidR="00883178">
        <w:t xml:space="preserve"> </w:t>
      </w:r>
      <w:r w:rsidRPr="00376F57">
        <w:t>already</w:t>
      </w:r>
      <w:r w:rsidR="00883178">
        <w:t xml:space="preserve"> </w:t>
      </w:r>
      <w:r w:rsidRPr="00376F57">
        <w:t>making</w:t>
      </w:r>
      <w:r w:rsidR="00883178">
        <w:t xml:space="preserve"> </w:t>
      </w:r>
      <w:r w:rsidRPr="00376F57">
        <w:t>to,</w:t>
      </w:r>
      <w:r w:rsidR="00883178">
        <w:t xml:space="preserve"> </w:t>
      </w:r>
      <w:r w:rsidRPr="00376F57">
        <w:t>among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things,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mitigation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strategies.</w:t>
      </w:r>
      <w:r w:rsidRPr="00376F57">
        <w:rPr>
          <w:rStyle w:val="FootnoteReference"/>
        </w:rPr>
        <w:footnoteReference w:id="51"/>
      </w:r>
    </w:p>
    <w:p w14:paraId="52409974" w14:textId="0F9E4899" w:rsidR="00F36E7C" w:rsidRPr="00376F57" w:rsidRDefault="00F36E7C" w:rsidP="00F36E7C">
      <w:pPr>
        <w:pStyle w:val="ParaNoG"/>
      </w:pPr>
      <w:r w:rsidRPr="00376F57">
        <w:rPr>
          <w:b/>
          <w:bCs/>
        </w:rPr>
        <w:t>Persons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living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in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poverty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extreme</w:t>
      </w:r>
      <w:r w:rsidR="00883178">
        <w:t xml:space="preserve"> </w:t>
      </w:r>
      <w:r w:rsidRPr="00376F57">
        <w:t>poverty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examined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impact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poverty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inequality,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response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community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potential</w:t>
      </w:r>
      <w:r w:rsidR="00883178">
        <w:t xml:space="preserve"> </w:t>
      </w:r>
      <w:r w:rsidRPr="00376F57">
        <w:t>paths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transformation,</w:t>
      </w:r>
      <w:r w:rsidR="00883178">
        <w:t xml:space="preserve"> </w:t>
      </w:r>
      <w:r w:rsidRPr="00376F57">
        <w:t>including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respect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economy,</w:t>
      </w:r>
      <w:r w:rsidR="00883178">
        <w:t xml:space="preserve"> </w:t>
      </w:r>
      <w:r w:rsidRPr="00376F57">
        <w:t>society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concluded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an</w:t>
      </w:r>
      <w:r w:rsidR="00883178">
        <w:t xml:space="preserve"> </w:t>
      </w:r>
      <w:r w:rsidR="00454838" w:rsidRPr="00376F57">
        <w:t>“</w:t>
      </w:r>
      <w:r w:rsidRPr="00376F57">
        <w:t>unconscionable</w:t>
      </w:r>
      <w:r w:rsidR="00883178">
        <w:t xml:space="preserve"> </w:t>
      </w:r>
      <w:r w:rsidRPr="00376F57">
        <w:t>assault</w:t>
      </w:r>
      <w:r w:rsidR="00454838" w:rsidRPr="00376F57">
        <w:t>”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persons</w:t>
      </w:r>
      <w:r w:rsidR="00883178">
        <w:t xml:space="preserve"> </w:t>
      </w:r>
      <w:r w:rsidRPr="00376F57">
        <w:t>living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poverty.</w:t>
      </w:r>
      <w:r w:rsidRPr="00376F57">
        <w:rPr>
          <w:rStyle w:val="FootnoteReference"/>
        </w:rPr>
        <w:footnoteReference w:id="52"/>
      </w:r>
    </w:p>
    <w:p w14:paraId="134BC79E" w14:textId="4F5BC351" w:rsidR="00F36E7C" w:rsidRPr="00376F57" w:rsidRDefault="00F36E7C" w:rsidP="00F36E7C">
      <w:pPr>
        <w:pStyle w:val="ParaNoG"/>
        <w:rPr>
          <w:u w:val="single"/>
        </w:rPr>
      </w:pPr>
      <w:r w:rsidRPr="00376F57">
        <w:rPr>
          <w:b/>
          <w:bCs/>
        </w:rPr>
        <w:t>Human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rights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defenders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situation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defenders</w:t>
      </w:r>
      <w:r w:rsidR="00883178">
        <w:t xml:space="preserve"> </w:t>
      </w:r>
      <w:r w:rsidRPr="00376F57">
        <w:t>raised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alarm</w:t>
      </w:r>
      <w:r w:rsidR="00883178">
        <w:t xml:space="preserve"> </w:t>
      </w:r>
      <w:r w:rsidRPr="00376F57">
        <w:t>about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increasing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intensifying</w:t>
      </w:r>
      <w:r w:rsidR="00883178">
        <w:t xml:space="preserve"> </w:t>
      </w:r>
      <w:r w:rsidRPr="00376F57">
        <w:t>violence</w:t>
      </w:r>
      <w:r w:rsidR="00883178">
        <w:t xml:space="preserve"> </w:t>
      </w:r>
      <w:r w:rsidRPr="00376F57">
        <w:t>against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defenders.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provided</w:t>
      </w:r>
      <w:r w:rsidR="00883178">
        <w:t xml:space="preserve"> </w:t>
      </w:r>
      <w:r w:rsidRPr="00376F57">
        <w:t>recommendations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various</w:t>
      </w:r>
      <w:r w:rsidR="00883178">
        <w:t xml:space="preserve"> </w:t>
      </w:r>
      <w:r w:rsidRPr="00376F57">
        <w:t>stakeholders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reverse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worrying</w:t>
      </w:r>
      <w:r w:rsidR="00883178">
        <w:t xml:space="preserve"> </w:t>
      </w:r>
      <w:r w:rsidRPr="00376F57">
        <w:t>trend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empower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protect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defenders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sake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humankind</w:t>
      </w:r>
      <w:r w:rsidR="00454838" w:rsidRPr="00376F57">
        <w:t>’</w:t>
      </w:r>
      <w:r w:rsidRPr="00376F57">
        <w:t>s</w:t>
      </w:r>
      <w:r w:rsidR="00883178">
        <w:t xml:space="preserve"> </w:t>
      </w:r>
      <w:r w:rsidRPr="00376F57">
        <w:t>common</w:t>
      </w:r>
      <w:r w:rsidR="00883178">
        <w:t xml:space="preserve"> </w:t>
      </w:r>
      <w:r w:rsidRPr="00376F57">
        <w:t>environment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t>development.</w:t>
      </w:r>
      <w:r w:rsidRPr="00376F57">
        <w:rPr>
          <w:rStyle w:val="FootnoteReference"/>
        </w:rPr>
        <w:footnoteReference w:id="53"/>
      </w:r>
      <w:r w:rsidR="00883178">
        <w:t xml:space="preserve"> </w:t>
      </w:r>
      <w:r w:rsidRPr="00376F57">
        <w:t>Several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raised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defenders.</w:t>
      </w:r>
      <w:r w:rsidR="00883178">
        <w:t xml:space="preserve"> </w:t>
      </w:r>
    </w:p>
    <w:p w14:paraId="5D35AF05" w14:textId="71AC7302" w:rsidR="00F36E7C" w:rsidRPr="00376F57" w:rsidRDefault="00F36E7C" w:rsidP="00F36E7C">
      <w:pPr>
        <w:pStyle w:val="ParaNoG"/>
        <w:rPr>
          <w:u w:val="single"/>
        </w:rPr>
      </w:pPr>
      <w:r w:rsidRPr="00376F57">
        <w:rPr>
          <w:b/>
          <w:bCs/>
        </w:rPr>
        <w:t>People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living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in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small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island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developing</w:t>
      </w:r>
      <w:r w:rsidR="00883178">
        <w:rPr>
          <w:b/>
          <w:bCs/>
        </w:rPr>
        <w:t xml:space="preserve"> </w:t>
      </w:r>
      <w:r w:rsidRPr="00376F57">
        <w:rPr>
          <w:b/>
          <w:bCs/>
        </w:rPr>
        <w:t>States</w:t>
      </w:r>
      <w:r w:rsidRPr="00376F57">
        <w:t>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Independent</w:t>
      </w:r>
      <w:r w:rsidR="00883178">
        <w:t xml:space="preserve"> </w:t>
      </w:r>
      <w:r w:rsidRPr="00376F57">
        <w:t>Expert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effects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foreign</w:t>
      </w:r>
      <w:r w:rsidR="00883178">
        <w:t xml:space="preserve"> </w:t>
      </w:r>
      <w:r w:rsidRPr="00376F57">
        <w:t>debt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related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financial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full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all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particularly</w:t>
      </w:r>
      <w:r w:rsidR="00883178">
        <w:t xml:space="preserve"> </w:t>
      </w:r>
      <w:r w:rsidRPr="00376F57">
        <w:t>economic,</w:t>
      </w:r>
      <w:r w:rsidR="00883178">
        <w:t xml:space="preserve"> </w:t>
      </w:r>
      <w:r w:rsidRPr="00376F57">
        <w:t>social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cultural</w:t>
      </w:r>
      <w:r w:rsidR="00883178">
        <w:t xml:space="preserve"> </w:t>
      </w:r>
      <w:r w:rsidRPr="00376F57">
        <w:t>rights,</w:t>
      </w:r>
      <w:r w:rsidR="00883178">
        <w:t xml:space="preserve"> </w:t>
      </w:r>
      <w:r w:rsidRPr="00376F57">
        <w:t>expressed</w:t>
      </w:r>
      <w:r w:rsidR="00883178">
        <w:t xml:space="preserve"> </w:t>
      </w:r>
      <w:r w:rsidRPr="00376F57">
        <w:t>support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proposals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address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unsustainable</w:t>
      </w:r>
      <w:r w:rsidR="00883178">
        <w:t xml:space="preserve"> </w:t>
      </w:r>
      <w:r w:rsidRPr="00376F57">
        <w:t>debt</w:t>
      </w:r>
      <w:r w:rsidR="00883178">
        <w:t xml:space="preserve"> </w:t>
      </w:r>
      <w:r w:rsidRPr="00376F57">
        <w:t>burden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small</w:t>
      </w:r>
      <w:r w:rsidR="00883178">
        <w:t xml:space="preserve"> </w:t>
      </w:r>
      <w:r w:rsidRPr="00376F57">
        <w:t>island</w:t>
      </w:r>
      <w:r w:rsidR="00883178">
        <w:t xml:space="preserve"> </w:t>
      </w:r>
      <w:r w:rsidRPr="00376F57">
        <w:t>developing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through,</w:t>
      </w:r>
      <w:r w:rsidR="00883178">
        <w:t xml:space="preserve"> </w:t>
      </w:r>
      <w:r w:rsidRPr="00376F57">
        <w:t>among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things,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swaps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would</w:t>
      </w:r>
      <w:r w:rsidR="00883178">
        <w:t xml:space="preserve"> </w:t>
      </w:r>
      <w:r w:rsidRPr="00376F57">
        <w:t>facilitate</w:t>
      </w:r>
      <w:r w:rsidR="00883178">
        <w:t xml:space="preserve"> </w:t>
      </w:r>
      <w:r w:rsidRPr="00376F57">
        <w:t>investment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adaptation</w:t>
      </w:r>
      <w:r w:rsidR="00883178">
        <w:t xml:space="preserve"> </w:t>
      </w:r>
      <w:r w:rsidRPr="00376F57">
        <w:t>initiatives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green</w:t>
      </w:r>
      <w:r w:rsidR="00883178">
        <w:t xml:space="preserve"> </w:t>
      </w:r>
      <w:r w:rsidRPr="00376F57">
        <w:t>industries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strengthen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resilience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countries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face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natural</w:t>
      </w:r>
      <w:r w:rsidR="00883178">
        <w:t xml:space="preserve"> </w:t>
      </w:r>
      <w:r w:rsidRPr="00376F57">
        <w:t>disasters.</w:t>
      </w:r>
      <w:r w:rsidRPr="00376F57">
        <w:rPr>
          <w:rStyle w:val="FootnoteReference"/>
        </w:rPr>
        <w:footnoteReference w:id="54"/>
      </w:r>
    </w:p>
    <w:p w14:paraId="6F883C9D" w14:textId="6C645FED" w:rsidR="00F36E7C" w:rsidRPr="00376F57" w:rsidRDefault="00F36E7C" w:rsidP="00FE159F">
      <w:pPr>
        <w:pStyle w:val="H1G"/>
        <w:outlineLvl w:val="1"/>
      </w:pPr>
      <w:bookmarkStart w:id="25" w:name="_Toc104789002"/>
      <w:r w:rsidRPr="00376F57">
        <w:tab/>
        <w:t>C.</w:t>
      </w:r>
      <w:r w:rsidRPr="00376F57">
        <w:tab/>
        <w:t>Work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procedure</w:t>
      </w:r>
      <w:r w:rsidR="00883178">
        <w:t xml:space="preserve"> </w:t>
      </w:r>
      <w:r w:rsidRPr="00376F57">
        <w:t>mandate</w:t>
      </w:r>
      <w:r w:rsidR="00883178">
        <w:t xml:space="preserve"> </w:t>
      </w:r>
      <w:r w:rsidRPr="00376F57">
        <w:t>holders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obligations,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responsibilities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State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context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bookmarkEnd w:id="25"/>
    </w:p>
    <w:p w14:paraId="588A3F28" w14:textId="7BF30213" w:rsidR="00F36E7C" w:rsidRPr="00376F57" w:rsidRDefault="00F36E7C" w:rsidP="00F36E7C">
      <w:pPr>
        <w:pStyle w:val="ParaNoG"/>
        <w:rPr>
          <w:color w:val="2F5496"/>
        </w:rPr>
      </w:pPr>
      <w:r w:rsidRPr="00376F57">
        <w:t>Many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studies</w:t>
      </w:r>
      <w:r w:rsidR="00883178">
        <w:t xml:space="preserve"> </w:t>
      </w:r>
      <w:r w:rsidRPr="00376F57">
        <w:t>introduced</w:t>
      </w:r>
      <w:r w:rsidR="00883178">
        <w:t xml:space="preserve"> </w:t>
      </w:r>
      <w:r w:rsidRPr="00376F57">
        <w:t>above</w:t>
      </w:r>
      <w:r w:rsidR="00883178">
        <w:t xml:space="preserve"> </w:t>
      </w:r>
      <w:r w:rsidRPr="00376F57">
        <w:t>have</w:t>
      </w:r>
      <w:r w:rsidR="00883178">
        <w:t xml:space="preserve"> </w:t>
      </w:r>
      <w:r w:rsidRPr="00376F57">
        <w:t>reaffirmed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notion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provide</w:t>
      </w:r>
      <w:r w:rsidR="00883178">
        <w:t xml:space="preserve"> </w:t>
      </w:r>
      <w:r w:rsidRPr="00376F57">
        <w:t>important</w:t>
      </w:r>
      <w:r w:rsidR="00883178">
        <w:t xml:space="preserve"> </w:t>
      </w:r>
      <w:r w:rsidRPr="00376F57">
        <w:t>protection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individuals</w:t>
      </w:r>
      <w:r w:rsidR="00883178">
        <w:t xml:space="preserve"> </w:t>
      </w:r>
      <w:r w:rsidRPr="00376F57">
        <w:t>whose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affected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or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measures</w:t>
      </w:r>
      <w:r w:rsidR="00883178">
        <w:t xml:space="preserve"> </w:t>
      </w:r>
      <w:r w:rsidRPr="00376F57">
        <w:t>taken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respond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application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those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–</w:t>
      </w:r>
      <w:r w:rsidR="00883178">
        <w:t xml:space="preserve"> </w:t>
      </w:r>
      <w:r w:rsidRPr="00376F57">
        <w:t>both</w:t>
      </w:r>
      <w:r w:rsidR="00883178">
        <w:t xml:space="preserve"> </w:t>
      </w:r>
      <w:r w:rsidRPr="00376F57">
        <w:t>procedural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substantive</w:t>
      </w:r>
      <w:r w:rsidR="00883178">
        <w:t xml:space="preserve"> </w:t>
      </w:r>
      <w:r w:rsidRPr="00376F57">
        <w:t>–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climate-related</w:t>
      </w:r>
      <w:r w:rsidR="00883178">
        <w:t xml:space="preserve"> </w:t>
      </w:r>
      <w:r w:rsidRPr="00376F57">
        <w:t>actions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lastRenderedPageBreak/>
        <w:t>been</w:t>
      </w:r>
      <w:r w:rsidR="00883178">
        <w:t xml:space="preserve"> </w:t>
      </w:r>
      <w:r w:rsidRPr="00376F57">
        <w:t>described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report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Special</w:t>
      </w:r>
      <w:r w:rsidR="00883178">
        <w:t xml:space="preserve"> </w:t>
      </w:r>
      <w:r w:rsidRPr="00376F57">
        <w:t>Rapporteur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relating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enjoyment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safe,</w:t>
      </w:r>
      <w:r w:rsidR="00883178">
        <w:t xml:space="preserve"> </w:t>
      </w:r>
      <w:r w:rsidRPr="00376F57">
        <w:t>clean,</w:t>
      </w:r>
      <w:r w:rsidR="00883178">
        <w:t xml:space="preserve"> </w:t>
      </w:r>
      <w:r w:rsidRPr="00376F57">
        <w:t>healthy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sustainable</w:t>
      </w:r>
      <w:r w:rsidR="00883178">
        <w:t xml:space="preserve"> </w:t>
      </w:r>
      <w:r w:rsidRPr="00376F57">
        <w:t>environment</w:t>
      </w:r>
      <w:r w:rsidRPr="00376F57">
        <w:rPr>
          <w:color w:val="2F5496"/>
        </w:rPr>
        <w:t>.</w:t>
      </w:r>
      <w:r w:rsidRPr="00376F57">
        <w:rPr>
          <w:rStyle w:val="FootnoteReference"/>
        </w:rPr>
        <w:footnoteReference w:id="55"/>
      </w:r>
    </w:p>
    <w:p w14:paraId="4AA5BF91" w14:textId="66D6C14D" w:rsidR="00F36E7C" w:rsidRPr="00376F57" w:rsidRDefault="00F36E7C" w:rsidP="00F36E7C">
      <w:pPr>
        <w:pStyle w:val="ParaNoG"/>
      </w:pPr>
      <w:r w:rsidRPr="00376F57">
        <w:t>In</w:t>
      </w:r>
      <w:r w:rsidR="00883178">
        <w:t xml:space="preserve"> </w:t>
      </w:r>
      <w:r w:rsidRPr="00376F57">
        <w:t>addition,</w:t>
      </w:r>
      <w:r w:rsidR="00883178">
        <w:t xml:space="preserve"> </w:t>
      </w:r>
      <w:r w:rsidRPr="00376F57">
        <w:t>efforts</w:t>
      </w:r>
      <w:r w:rsidR="00883178">
        <w:t xml:space="preserve"> </w:t>
      </w:r>
      <w:r w:rsidRPr="00376F57">
        <w:t>are</w:t>
      </w:r>
      <w:r w:rsidR="00883178">
        <w:t xml:space="preserve"> </w:t>
      </w:r>
      <w:r w:rsidRPr="00376F57">
        <w:t>underway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provide</w:t>
      </w:r>
      <w:r w:rsidR="00883178">
        <w:t xml:space="preserve"> </w:t>
      </w:r>
      <w:r w:rsidRPr="00376F57">
        <w:t>initial</w:t>
      </w:r>
      <w:r w:rsidR="00883178">
        <w:t xml:space="preserve"> </w:t>
      </w:r>
      <w:r w:rsidRPr="00376F57">
        <w:t>guidance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States,</w:t>
      </w:r>
      <w:r w:rsidR="00883178">
        <w:t xml:space="preserve"> </w:t>
      </w:r>
      <w:r w:rsidRPr="00376F57">
        <w:t>businesses,</w:t>
      </w:r>
      <w:r w:rsidR="00883178">
        <w:t xml:space="preserve"> </w:t>
      </w:r>
      <w:r w:rsidRPr="00376F57">
        <w:t>investors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actors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how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integrate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</w:t>
      </w:r>
      <w:r w:rsidR="00883178">
        <w:t xml:space="preserve"> </w:t>
      </w:r>
      <w:r w:rsidRPr="00376F57">
        <w:t>considerations</w:t>
      </w:r>
      <w:r w:rsidR="00883178">
        <w:t xml:space="preserve"> </w:t>
      </w:r>
      <w:r w:rsidRPr="00376F57">
        <w:t>into</w:t>
      </w:r>
      <w:r w:rsidR="00883178">
        <w:t xml:space="preserve"> </w:t>
      </w:r>
      <w:r w:rsidRPr="00376F57">
        <w:t>their</w:t>
      </w:r>
      <w:r w:rsidR="00883178">
        <w:t xml:space="preserve"> </w:t>
      </w:r>
      <w:r w:rsidRPr="00376F57">
        <w:t>policies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decisions.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Working</w:t>
      </w:r>
      <w:r w:rsidR="00883178">
        <w:t xml:space="preserve"> </w:t>
      </w:r>
      <w:r w:rsidRPr="00376F57">
        <w:t>Group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issue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transnational</w:t>
      </w:r>
      <w:r w:rsidR="00883178">
        <w:t xml:space="preserve"> </w:t>
      </w:r>
      <w:r w:rsidRPr="00376F57">
        <w:t>corporations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</w:t>
      </w:r>
      <w:r w:rsidR="00883178">
        <w:t xml:space="preserve"> </w:t>
      </w:r>
      <w:r w:rsidRPr="00376F57">
        <w:t>is</w:t>
      </w:r>
      <w:r w:rsidR="00883178">
        <w:t xml:space="preserve"> </w:t>
      </w:r>
      <w:r w:rsidRPr="00376F57">
        <w:t>developing,</w:t>
      </w:r>
      <w:r w:rsidR="00883178">
        <w:t xml:space="preserve"> </w:t>
      </w:r>
      <w:r w:rsidRPr="00376F57">
        <w:t>for</w:t>
      </w:r>
      <w:r w:rsidR="00883178">
        <w:t xml:space="preserve"> </w:t>
      </w:r>
      <w:r w:rsidRPr="00376F57">
        <w:t>States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enterprises,</w:t>
      </w:r>
      <w:r w:rsidR="00883178">
        <w:t xml:space="preserve"> </w:t>
      </w:r>
      <w:r w:rsidRPr="00376F57">
        <w:t>an</w:t>
      </w:r>
      <w:r w:rsidR="00883178">
        <w:t xml:space="preserve"> </w:t>
      </w:r>
      <w:r w:rsidRPr="00376F57">
        <w:t>information</w:t>
      </w:r>
      <w:r w:rsidR="00883178">
        <w:t xml:space="preserve"> </w:t>
      </w:r>
      <w:r w:rsidRPr="00376F57">
        <w:t>note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explains</w:t>
      </w:r>
      <w:r w:rsidR="00883178">
        <w:t xml:space="preserve"> </w:t>
      </w:r>
      <w:r w:rsidRPr="00376F57">
        <w:t>what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three</w:t>
      </w:r>
      <w:r w:rsidR="00883178">
        <w:t xml:space="preserve"> </w:t>
      </w:r>
      <w:r w:rsidRPr="00376F57">
        <w:t>pillars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Guiding</w:t>
      </w:r>
      <w:r w:rsidR="00883178">
        <w:t xml:space="preserve"> </w:t>
      </w:r>
      <w:r w:rsidRPr="00376F57">
        <w:t>Principles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Business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entail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relation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change.</w:t>
      </w:r>
    </w:p>
    <w:p w14:paraId="3CD94628" w14:textId="20068E32" w:rsidR="007268F9" w:rsidRPr="00376F57" w:rsidRDefault="00F36E7C" w:rsidP="00D05ABB">
      <w:pPr>
        <w:pStyle w:val="ParaNoG"/>
      </w:pPr>
      <w:r w:rsidRPr="00376F57">
        <w:t>The</w:t>
      </w:r>
      <w:r w:rsidR="00883178">
        <w:t xml:space="preserve"> </w:t>
      </w:r>
      <w:r w:rsidRPr="00376F57">
        <w:t>role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rights-based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solidarity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responding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change,</w:t>
      </w:r>
      <w:r w:rsidR="00883178">
        <w:t xml:space="preserve"> </w:t>
      </w:r>
      <w:r w:rsidRPr="00376F57">
        <w:t>as</w:t>
      </w:r>
      <w:r w:rsidR="00883178">
        <w:t xml:space="preserve"> </w:t>
      </w:r>
      <w:r w:rsidRPr="00376F57">
        <w:t>a</w:t>
      </w:r>
      <w:r w:rsidR="00883178">
        <w:t xml:space="preserve"> </w:t>
      </w:r>
      <w:r w:rsidRPr="00376F57">
        <w:t>common</w:t>
      </w:r>
      <w:r w:rsidR="00883178">
        <w:t xml:space="preserve"> </w:t>
      </w:r>
      <w:r w:rsidRPr="00376F57">
        <w:t>concern</w:t>
      </w:r>
      <w:r w:rsidR="00883178">
        <w:t xml:space="preserve"> </w:t>
      </w:r>
      <w:r w:rsidRPr="00376F57">
        <w:t>of</w:t>
      </w:r>
      <w:r w:rsidR="00883178">
        <w:t xml:space="preserve"> </w:t>
      </w:r>
      <w:r w:rsidRPr="00376F57">
        <w:t>humanity,</w:t>
      </w:r>
      <w:r w:rsidR="00883178">
        <w:t xml:space="preserve"> </w:t>
      </w:r>
      <w:r w:rsidRPr="00376F57">
        <w:t>has</w:t>
      </w:r>
      <w:r w:rsidR="00883178">
        <w:t xml:space="preserve"> </w:t>
      </w:r>
      <w:r w:rsidRPr="00376F57">
        <w:t>been</w:t>
      </w:r>
      <w:r w:rsidR="00883178">
        <w:t xml:space="preserve"> </w:t>
      </w:r>
      <w:r w:rsidRPr="00376F57">
        <w:t>addressed</w:t>
      </w:r>
      <w:r w:rsidR="00883178">
        <w:t xml:space="preserve"> </w:t>
      </w:r>
      <w:r w:rsidRPr="00376F57">
        <w:t>by</w:t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Independent</w:t>
      </w:r>
      <w:r w:rsidR="00883178">
        <w:t xml:space="preserve"> </w:t>
      </w:r>
      <w:r w:rsidRPr="00376F57">
        <w:t>Expert</w:t>
      </w:r>
      <w:r w:rsidR="00883178">
        <w:t xml:space="preserve"> </w:t>
      </w:r>
      <w:r w:rsidRPr="00376F57">
        <w:t>on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international</w:t>
      </w:r>
      <w:r w:rsidR="00883178">
        <w:t xml:space="preserve"> </w:t>
      </w:r>
      <w:r w:rsidRPr="00376F57">
        <w:t>solidarity.</w:t>
      </w:r>
      <w:r w:rsidRPr="00376F57">
        <w:rPr>
          <w:rStyle w:val="FootnoteReference"/>
        </w:rPr>
        <w:footnoteReference w:id="56"/>
      </w:r>
      <w:r w:rsidR="00883178">
        <w:t xml:space="preserve"> </w:t>
      </w:r>
      <w:r w:rsidRPr="00376F57">
        <w:t>The</w:t>
      </w:r>
      <w:r w:rsidR="00883178">
        <w:t xml:space="preserve"> </w:t>
      </w:r>
      <w:r w:rsidRPr="00376F57">
        <w:t>Independent</w:t>
      </w:r>
      <w:r w:rsidR="00883178">
        <w:t xml:space="preserve"> </w:t>
      </w:r>
      <w:r w:rsidRPr="00376F57">
        <w:t>Expert</w:t>
      </w:r>
      <w:r w:rsidR="00883178">
        <w:t xml:space="preserve"> </w:t>
      </w:r>
      <w:r w:rsidRPr="00376F57">
        <w:t>noted</w:t>
      </w:r>
      <w:r w:rsidR="00883178">
        <w:t xml:space="preserve"> </w:t>
      </w:r>
      <w:r w:rsidRPr="00376F57">
        <w:t>that</w:t>
      </w:r>
      <w:r w:rsidR="00883178">
        <w:t xml:space="preserve"> </w:t>
      </w:r>
      <w:r w:rsidRPr="00376F57">
        <w:t>it</w:t>
      </w:r>
      <w:r w:rsidR="00883178">
        <w:t xml:space="preserve"> </w:t>
      </w:r>
      <w:r w:rsidRPr="00376F57">
        <w:t>was</w:t>
      </w:r>
      <w:r w:rsidR="00883178">
        <w:t xml:space="preserve"> </w:t>
      </w:r>
      <w:r w:rsidRPr="00376F57">
        <w:t>necessary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extend</w:t>
      </w:r>
      <w:r w:rsidR="00883178">
        <w:t xml:space="preserve"> </w:t>
      </w:r>
      <w:r w:rsidRPr="00376F57">
        <w:t>extraterritorial</w:t>
      </w:r>
      <w:r w:rsidR="00883178">
        <w:t xml:space="preserve"> </w:t>
      </w:r>
      <w:r w:rsidRPr="00376F57">
        <w:t>obligations</w:t>
      </w:r>
      <w:r w:rsidR="00883178">
        <w:t xml:space="preserve"> </w:t>
      </w:r>
      <w:r w:rsidRPr="00376F57">
        <w:t>to</w:t>
      </w:r>
      <w:r w:rsidR="00883178">
        <w:t xml:space="preserve"> </w:t>
      </w:r>
      <w:r w:rsidRPr="00376F57">
        <w:t>cover,</w:t>
      </w:r>
      <w:r w:rsidR="00883178">
        <w:t xml:space="preserve"> </w:t>
      </w:r>
      <w:r w:rsidRPr="00376F57">
        <w:t>among</w:t>
      </w:r>
      <w:r w:rsidR="00883178">
        <w:t xml:space="preserve"> </w:t>
      </w:r>
      <w:r w:rsidRPr="00376F57">
        <w:t>other</w:t>
      </w:r>
      <w:r w:rsidR="00883178">
        <w:t xml:space="preserve"> </w:t>
      </w:r>
      <w:r w:rsidRPr="00376F57">
        <w:t>things,</w:t>
      </w:r>
      <w:r w:rsidR="00883178">
        <w:t xml:space="preserve"> </w:t>
      </w:r>
      <w:r w:rsidRPr="00376F57">
        <w:t>human</w:t>
      </w:r>
      <w:r w:rsidR="00883178">
        <w:t xml:space="preserve"> </w:t>
      </w:r>
      <w:r w:rsidRPr="00376F57">
        <w:t>rights</w:t>
      </w:r>
      <w:r w:rsidR="00883178">
        <w:t xml:space="preserve"> </w:t>
      </w:r>
      <w:r w:rsidRPr="00376F57">
        <w:t>in</w:t>
      </w:r>
      <w:r w:rsidR="00883178">
        <w:t xml:space="preserve"> </w:t>
      </w:r>
      <w:r w:rsidRPr="00376F57">
        <w:t>climate</w:t>
      </w:r>
      <w:r w:rsidR="00883178">
        <w:t xml:space="preserve"> </w:t>
      </w:r>
      <w:r w:rsidRPr="00376F57">
        <w:t>and</w:t>
      </w:r>
      <w:r w:rsidR="00883178">
        <w:t xml:space="preserve"> </w:t>
      </w:r>
      <w:r w:rsidRPr="00376F57">
        <w:t>environmental</w:t>
      </w:r>
      <w:r w:rsidR="00883178">
        <w:t xml:space="preserve"> </w:t>
      </w:r>
      <w:r w:rsidRPr="00376F57">
        <w:t>issues.</w:t>
      </w:r>
      <w:r w:rsidRPr="00376F57">
        <w:rPr>
          <w:rStyle w:val="FootnoteReference"/>
        </w:rPr>
        <w:footnoteReference w:id="57"/>
      </w:r>
    </w:p>
    <w:p w14:paraId="3086D218" w14:textId="77777777" w:rsidR="00227C2C" w:rsidRPr="00376F57" w:rsidRDefault="00227C2C" w:rsidP="00662E76">
      <w:pPr>
        <w:spacing w:before="240"/>
        <w:jc w:val="center"/>
        <w:rPr>
          <w:u w:val="single"/>
        </w:rPr>
      </w:pPr>
      <w:r w:rsidRPr="00376F57">
        <w:rPr>
          <w:u w:val="single"/>
        </w:rPr>
        <w:tab/>
      </w:r>
      <w:r w:rsidRPr="00376F57">
        <w:rPr>
          <w:u w:val="single"/>
        </w:rPr>
        <w:tab/>
      </w:r>
      <w:r w:rsidRPr="00376F57">
        <w:rPr>
          <w:u w:val="single"/>
        </w:rPr>
        <w:tab/>
      </w:r>
    </w:p>
    <w:sectPr w:rsidR="00227C2C" w:rsidRPr="00376F57" w:rsidSect="002D1404">
      <w:footnotePr>
        <w:numRestart w:val="eachSect"/>
      </w:footnotePr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4671D" w14:textId="77777777" w:rsidR="00426F00" w:rsidRPr="00C47B2E" w:rsidRDefault="00426F00" w:rsidP="00C47B2E">
      <w:pPr>
        <w:pStyle w:val="Footer"/>
      </w:pPr>
    </w:p>
  </w:endnote>
  <w:endnote w:type="continuationSeparator" w:id="0">
    <w:p w14:paraId="37740FF8" w14:textId="77777777" w:rsidR="00426F00" w:rsidRPr="00C47B2E" w:rsidRDefault="00426F00" w:rsidP="00C47B2E">
      <w:pPr>
        <w:pStyle w:val="Footer"/>
      </w:pPr>
    </w:p>
  </w:endnote>
  <w:endnote w:type="continuationNotice" w:id="1">
    <w:p w14:paraId="515433C4" w14:textId="77777777" w:rsidR="00426F00" w:rsidRPr="00C47B2E" w:rsidRDefault="00426F00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EE98" w14:textId="10DE5290" w:rsidR="00F36E7C" w:rsidRDefault="00F36E7C" w:rsidP="00455870">
    <w:pPr>
      <w:pStyle w:val="Footer"/>
      <w:tabs>
        <w:tab w:val="right" w:pos="9638"/>
      </w:tabs>
    </w:pPr>
    <w:r w:rsidRPr="00F36E7C">
      <w:rPr>
        <w:b/>
        <w:bCs/>
        <w:sz w:val="18"/>
      </w:rPr>
      <w:fldChar w:fldCharType="begin"/>
    </w:r>
    <w:r w:rsidRPr="00F36E7C">
      <w:rPr>
        <w:b/>
        <w:bCs/>
        <w:sz w:val="18"/>
      </w:rPr>
      <w:instrText xml:space="preserve"> PAGE  \* MERGEFORMAT </w:instrText>
    </w:r>
    <w:r w:rsidRPr="00F36E7C">
      <w:rPr>
        <w:b/>
        <w:bCs/>
        <w:sz w:val="18"/>
      </w:rPr>
      <w:fldChar w:fldCharType="separate"/>
    </w:r>
    <w:r w:rsidR="00BC7248">
      <w:rPr>
        <w:b/>
        <w:bCs/>
        <w:noProof/>
        <w:sz w:val="18"/>
      </w:rPr>
      <w:t>16</w:t>
    </w:r>
    <w:r w:rsidRPr="00F36E7C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05A8" w14:textId="1B1091C4" w:rsidR="00F36E7C" w:rsidRDefault="00F36E7C" w:rsidP="00F36E7C">
    <w:pPr>
      <w:pStyle w:val="Footer"/>
      <w:tabs>
        <w:tab w:val="right" w:pos="9638"/>
      </w:tabs>
    </w:pPr>
    <w:r>
      <w:tab/>
    </w:r>
    <w:r w:rsidRPr="00F36E7C">
      <w:rPr>
        <w:b/>
        <w:bCs/>
        <w:sz w:val="18"/>
      </w:rPr>
      <w:fldChar w:fldCharType="begin"/>
    </w:r>
    <w:r w:rsidRPr="00F36E7C">
      <w:rPr>
        <w:b/>
        <w:bCs/>
        <w:sz w:val="18"/>
      </w:rPr>
      <w:instrText xml:space="preserve"> PAGE  \* MERGEFORMAT </w:instrText>
    </w:r>
    <w:r w:rsidRPr="00F36E7C">
      <w:rPr>
        <w:b/>
        <w:bCs/>
        <w:sz w:val="18"/>
      </w:rPr>
      <w:fldChar w:fldCharType="separate"/>
    </w:r>
    <w:r w:rsidR="00BC7248">
      <w:rPr>
        <w:b/>
        <w:bCs/>
        <w:noProof/>
        <w:sz w:val="18"/>
      </w:rPr>
      <w:t>17</w:t>
    </w:r>
    <w:r w:rsidRPr="00F36E7C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EDED" w14:textId="77777777" w:rsidR="00426F00" w:rsidRPr="00C47B2E" w:rsidRDefault="00426F00" w:rsidP="00C47B2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Separator" w:id="0">
    <w:p w14:paraId="7E152657" w14:textId="77777777" w:rsidR="00426F00" w:rsidRPr="00C47B2E" w:rsidRDefault="00426F00" w:rsidP="005E716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Notice" w:id="1">
    <w:p w14:paraId="441C0EEA" w14:textId="77777777" w:rsidR="00426F00" w:rsidRPr="00C47B2E" w:rsidRDefault="00426F00" w:rsidP="00C47B2E">
      <w:pPr>
        <w:pStyle w:val="Footer"/>
      </w:pPr>
    </w:p>
  </w:footnote>
  <w:footnote w:id="2">
    <w:p w14:paraId="35A53CB6" w14:textId="0CB4351C" w:rsidR="00F36E7C" w:rsidRPr="00845277" w:rsidRDefault="00F36E7C" w:rsidP="00F36E7C">
      <w:pPr>
        <w:pStyle w:val="FootnoteText"/>
      </w:pPr>
      <w:r w:rsidRPr="00F36E7C">
        <w:tab/>
      </w:r>
      <w:r w:rsidRPr="00F36E7C">
        <w:rPr>
          <w:sz w:val="20"/>
        </w:rPr>
        <w:t>*</w:t>
      </w:r>
      <w:r w:rsidRPr="00F36E7C">
        <w:rPr>
          <w:sz w:val="20"/>
        </w:rPr>
        <w:tab/>
      </w:r>
      <w:r w:rsidRPr="002733A4">
        <w:rPr>
          <w:szCs w:val="18"/>
        </w:rPr>
        <w:t>The present report was submitted after the deadline owing to circumstances beyond the submitter</w:t>
      </w:r>
      <w:r w:rsidR="00454838">
        <w:rPr>
          <w:szCs w:val="18"/>
        </w:rPr>
        <w:t>’</w:t>
      </w:r>
      <w:r w:rsidRPr="002733A4">
        <w:rPr>
          <w:szCs w:val="18"/>
        </w:rPr>
        <w:t>s control.</w:t>
      </w:r>
    </w:p>
  </w:footnote>
  <w:footnote w:id="3">
    <w:p w14:paraId="18B1905F" w14:textId="797E499D" w:rsidR="00F36E7C" w:rsidRPr="0011189F" w:rsidRDefault="00455870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1" w:history="1">
        <w:r w:rsidR="00F36E7C" w:rsidRPr="00A65462">
          <w:rPr>
            <w:rStyle w:val="Hyperlink"/>
            <w:lang w:val="en-US"/>
          </w:rPr>
          <w:t>A/HRC/10/61</w:t>
        </w:r>
      </w:hyperlink>
      <w:r w:rsidR="00F36E7C">
        <w:rPr>
          <w:lang w:val="en-US"/>
        </w:rPr>
        <w:t xml:space="preserve"> and </w:t>
      </w:r>
      <w:hyperlink r:id="rId2" w:history="1">
        <w:r w:rsidR="00F36E7C" w:rsidRPr="00A65462">
          <w:rPr>
            <w:rStyle w:val="Hyperlink"/>
            <w:lang w:val="en-US"/>
          </w:rPr>
          <w:t>A/HRC/AC/27/2</w:t>
        </w:r>
        <w:r w:rsidR="00F36E7C" w:rsidRPr="00DF6870">
          <w:rPr>
            <w:rStyle w:val="Hyperlink"/>
            <w:color w:val="auto"/>
            <w:lang w:val="en-US"/>
          </w:rPr>
          <w:t>.</w:t>
        </w:r>
      </w:hyperlink>
    </w:p>
  </w:footnote>
  <w:footnote w:id="4">
    <w:p w14:paraId="6EFC4F45" w14:textId="19A863A2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 w:rsidRPr="00BB757A">
        <w:t>For more information, see</w:t>
      </w:r>
      <w:r w:rsidRPr="00455870">
        <w:t xml:space="preserve"> </w:t>
      </w:r>
      <w:hyperlink r:id="rId3" w:history="1">
        <w:r w:rsidR="00A65462" w:rsidRPr="0040742C">
          <w:rPr>
            <w:rStyle w:val="Hyperlink"/>
          </w:rPr>
          <w:t>https://www.ohchr.org/en/issues/hrandclimatechange/pages/hrclimatechangeindex.aspx</w:t>
        </w:r>
      </w:hyperlink>
      <w:r>
        <w:t>.</w:t>
      </w:r>
    </w:p>
  </w:footnote>
  <w:footnote w:id="5">
    <w:p w14:paraId="607A0433" w14:textId="01842AEA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  <w:t xml:space="preserve">See </w:t>
      </w:r>
      <w:hyperlink r:id="rId4" w:history="1">
        <w:r w:rsidRPr="00177A22">
          <w:rPr>
            <w:rStyle w:val="Hyperlink"/>
            <w:lang w:val="en-US"/>
          </w:rPr>
          <w:t>A/HRC/AC/26/2</w:t>
        </w:r>
      </w:hyperlink>
      <w:r>
        <w:rPr>
          <w:rStyle w:val="Hyperlink"/>
          <w:lang w:val="en-US"/>
        </w:rPr>
        <w:t xml:space="preserve">. </w:t>
      </w:r>
      <w:r w:rsidRPr="00BB757A">
        <w:t xml:space="preserve">For more information, see </w:t>
      </w:r>
      <w:hyperlink r:id="rId5" w:history="1">
        <w:r w:rsidR="00177A22" w:rsidRPr="0040742C">
          <w:rPr>
            <w:rStyle w:val="Hyperlink"/>
          </w:rPr>
          <w:t>https://www.ohchr.org/en/calls-for-input/calls-input/impact-new-technologies-climate-protection-enjoyment-human-rights</w:t>
        </w:r>
      </w:hyperlink>
      <w:r>
        <w:t>.</w:t>
      </w:r>
    </w:p>
  </w:footnote>
  <w:footnote w:id="6">
    <w:p w14:paraId="43FFF55D" w14:textId="398AE2FD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 w:rsidRPr="00BB757A">
        <w:t xml:space="preserve">For more information, see </w:t>
      </w:r>
      <w:hyperlink r:id="rId6" w:history="1">
        <w:r w:rsidR="00177A22" w:rsidRPr="0040742C">
          <w:rPr>
            <w:rStyle w:val="Hyperlink"/>
          </w:rPr>
          <w:t>https://www.ohchr.org/en/climate-change/human-rights-mechanisms-addressing-climate-change</w:t>
        </w:r>
      </w:hyperlink>
      <w:r>
        <w:t>.</w:t>
      </w:r>
    </w:p>
  </w:footnote>
  <w:footnote w:id="7">
    <w:p w14:paraId="4D74CCA6" w14:textId="1B8DD957" w:rsidR="00F36E7C" w:rsidRPr="00F41420" w:rsidRDefault="00F36E7C" w:rsidP="00455870">
      <w:pPr>
        <w:pStyle w:val="Footnote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>For more information, see</w:t>
      </w:r>
      <w:r w:rsidRPr="00386A5B">
        <w:t xml:space="preserve"> </w:t>
      </w:r>
      <w:hyperlink r:id="rId7" w:history="1">
        <w:r w:rsidR="00177A22" w:rsidRPr="0040742C">
          <w:rPr>
            <w:rStyle w:val="Hyperlink"/>
          </w:rPr>
          <w:t>https://www.ohchr.org/Documents/HRBodies/SP/List_SP_Reports_Climate_Change.pdf</w:t>
        </w:r>
      </w:hyperlink>
      <w:r>
        <w:t>.</w:t>
      </w:r>
    </w:p>
  </w:footnote>
  <w:footnote w:id="8">
    <w:p w14:paraId="11DEFAAB" w14:textId="164103AC" w:rsidR="00F36E7C" w:rsidRPr="006436DE" w:rsidRDefault="00F36E7C" w:rsidP="00A568FC">
      <w:pPr>
        <w:pStyle w:val="Footnote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>
        <w:rPr>
          <w:lang w:val="en-US"/>
        </w:rPr>
        <w:t xml:space="preserve">Intergovernmental Panel on Climate Change, </w:t>
      </w:r>
      <w:r w:rsidRPr="00272F9C">
        <w:rPr>
          <w:i/>
          <w:iCs/>
          <w:lang w:val="en-US"/>
        </w:rPr>
        <w:t>Climate Change 2022: Mitigation of Climate Change</w:t>
      </w:r>
      <w:r>
        <w:rPr>
          <w:lang w:val="en-US"/>
        </w:rPr>
        <w:t xml:space="preserve">, Technical Summary (2022), available at </w:t>
      </w:r>
      <w:hyperlink r:id="rId8" w:history="1">
        <w:r w:rsidR="009D2804" w:rsidRPr="0040742C">
          <w:rPr>
            <w:rStyle w:val="Hyperlink"/>
            <w:lang w:val="en-US"/>
          </w:rPr>
          <w:t>https://www.ipcc.ch/report/sixth-assessment-report-working-group-3/</w:t>
        </w:r>
      </w:hyperlink>
      <w:r>
        <w:rPr>
          <w:lang w:val="en-US"/>
        </w:rPr>
        <w:t>.</w:t>
      </w:r>
    </w:p>
  </w:footnote>
  <w:footnote w:id="9">
    <w:p w14:paraId="32432945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t>Ibid.</w:t>
      </w:r>
    </w:p>
  </w:footnote>
  <w:footnote w:id="10">
    <w:p w14:paraId="559309EA" w14:textId="30112F54" w:rsidR="00F36E7C" w:rsidRPr="002D6F95" w:rsidRDefault="00F36E7C" w:rsidP="00455870">
      <w:pPr>
        <w:pStyle w:val="FootnoteText"/>
      </w:pPr>
      <w:r>
        <w:rPr>
          <w:rFonts w:asciiTheme="majorHAnsi" w:hAnsiTheme="majorHAnsi" w:cstheme="majorHAnsi"/>
          <w:sz w:val="20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2D6F95">
        <w:t>Decision 1/CP.26 (</w:t>
      </w:r>
      <w:hyperlink r:id="rId9" w:history="1">
        <w:r w:rsidRPr="002D6F95">
          <w:rPr>
            <w:rStyle w:val="Hyperlink"/>
          </w:rPr>
          <w:t>FCCC/CP/2021/12/Add.1</w:t>
        </w:r>
      </w:hyperlink>
      <w:r w:rsidRPr="002D6F95">
        <w:t>) and decision 1/CMA.3</w:t>
      </w:r>
      <w:r w:rsidR="00E67CF5" w:rsidRPr="002D6F95">
        <w:t xml:space="preserve"> </w:t>
      </w:r>
      <w:r w:rsidRPr="002D6F95">
        <w:t>(</w:t>
      </w:r>
      <w:hyperlink r:id="rId10" w:history="1">
        <w:r w:rsidRPr="002D6F95">
          <w:rPr>
            <w:rStyle w:val="Hyperlink"/>
          </w:rPr>
          <w:t>FCCC/PA/CMA/2021/10/Add.1</w:t>
        </w:r>
      </w:hyperlink>
      <w:r w:rsidRPr="002D6F95">
        <w:t>).</w:t>
      </w:r>
    </w:p>
  </w:footnote>
  <w:footnote w:id="11">
    <w:p w14:paraId="04F04BA6" w14:textId="2C3E1C79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>See call for input</w:t>
      </w:r>
      <w:r>
        <w:t>s, available at</w:t>
      </w:r>
      <w:r w:rsidRPr="00BB757A">
        <w:t xml:space="preserve"> </w:t>
      </w:r>
      <w:hyperlink r:id="rId11" w:history="1">
        <w:r w:rsidR="00FC66C1" w:rsidRPr="0040742C">
          <w:rPr>
            <w:rStyle w:val="Hyperlink"/>
          </w:rPr>
          <w:t>https://www.ohchr.org/en/calls-for-input/calls-input/call-input-promotion-and-protection-human-rights-context-mitigation</w:t>
        </w:r>
      </w:hyperlink>
      <w:r>
        <w:t>.</w:t>
      </w:r>
    </w:p>
  </w:footnote>
  <w:footnote w:id="12">
    <w:p w14:paraId="1192D987" w14:textId="15EC8943" w:rsidR="00F36E7C" w:rsidRPr="000E2727" w:rsidRDefault="00B9065D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12" w:history="1">
        <w:r w:rsidR="00F36E7C" w:rsidRPr="00FC66C1">
          <w:rPr>
            <w:rStyle w:val="Hyperlink"/>
            <w:lang w:val="en-US"/>
          </w:rPr>
          <w:t>FCCC/PA/CMA/2021/10/Add.1</w:t>
        </w:r>
      </w:hyperlink>
      <w:r w:rsidR="00F36E7C" w:rsidRPr="00FC66C1">
        <w:rPr>
          <w:lang w:val="en-US"/>
        </w:rPr>
        <w:t>.</w:t>
      </w:r>
    </w:p>
  </w:footnote>
  <w:footnote w:id="13">
    <w:p w14:paraId="49AFC8B0" w14:textId="6988A841" w:rsidR="00F36E7C" w:rsidRPr="00BB757A" w:rsidRDefault="00F36E7C" w:rsidP="00455870">
      <w:pPr>
        <w:pStyle w:val="FootnoteText"/>
        <w:rPr>
          <w:szCs w:val="18"/>
        </w:rPr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9848C1">
        <w:rPr>
          <w:rFonts w:asciiTheme="majorHAnsi" w:hAnsiTheme="majorHAnsi" w:cstheme="majorHAnsi"/>
          <w:szCs w:val="18"/>
        </w:rPr>
        <w:tab/>
      </w:r>
      <w:r w:rsidRPr="00BB757A">
        <w:rPr>
          <w:szCs w:val="18"/>
        </w:rPr>
        <w:t xml:space="preserve">UNHCR, Refugee Data Finder, </w:t>
      </w:r>
      <w:r>
        <w:rPr>
          <w:szCs w:val="18"/>
        </w:rPr>
        <w:t>available at</w:t>
      </w:r>
      <w:r w:rsidRPr="00BB757A">
        <w:rPr>
          <w:szCs w:val="18"/>
        </w:rPr>
        <w:t xml:space="preserve"> </w:t>
      </w:r>
      <w:hyperlink r:id="rId13" w:history="1">
        <w:r w:rsidR="00621464" w:rsidRPr="0040742C">
          <w:rPr>
            <w:rStyle w:val="Hyperlink"/>
            <w:szCs w:val="18"/>
          </w:rPr>
          <w:t>https://www.unhcr.org/refugee-statistics/</w:t>
        </w:r>
      </w:hyperlink>
      <w:r>
        <w:rPr>
          <w:szCs w:val="18"/>
        </w:rPr>
        <w:t xml:space="preserve"> (2022).</w:t>
      </w:r>
    </w:p>
  </w:footnote>
  <w:footnote w:id="14">
    <w:p w14:paraId="77B2EE10" w14:textId="77777777" w:rsidR="00F36E7C" w:rsidRPr="00BB757A" w:rsidRDefault="00F36E7C" w:rsidP="00455870">
      <w:pPr>
        <w:pStyle w:val="FootnoteText"/>
        <w:rPr>
          <w:szCs w:val="18"/>
        </w:rPr>
      </w:pPr>
      <w:r w:rsidRPr="009848C1">
        <w:rPr>
          <w:rFonts w:asciiTheme="majorHAnsi" w:hAnsiTheme="majorHAnsi" w:cstheme="majorHAnsi"/>
          <w:szCs w:val="18"/>
        </w:rPr>
        <w:tab/>
      </w:r>
      <w:r w:rsidRPr="00386A5B">
        <w:rPr>
          <w:rStyle w:val="FootnoteReference"/>
        </w:rPr>
        <w:footnoteRef/>
      </w:r>
      <w:r w:rsidRPr="009848C1">
        <w:rPr>
          <w:rFonts w:asciiTheme="majorHAnsi" w:hAnsiTheme="majorHAnsi" w:cstheme="majorHAnsi"/>
          <w:szCs w:val="18"/>
        </w:rPr>
        <w:t xml:space="preserve"> </w:t>
      </w:r>
      <w:r w:rsidRPr="009848C1">
        <w:rPr>
          <w:rFonts w:asciiTheme="majorHAnsi" w:hAnsiTheme="majorHAnsi" w:cstheme="majorHAnsi"/>
          <w:szCs w:val="18"/>
        </w:rPr>
        <w:tab/>
      </w:r>
      <w:r w:rsidRPr="00BB757A">
        <w:rPr>
          <w:szCs w:val="18"/>
        </w:rPr>
        <w:t xml:space="preserve">Internal Displacement Monitoring Centre, </w:t>
      </w:r>
      <w:r w:rsidRPr="00363370">
        <w:rPr>
          <w:i/>
          <w:iCs/>
          <w:szCs w:val="18"/>
        </w:rPr>
        <w:t>Global Report on Internal Displacement, 2020</w:t>
      </w:r>
      <w:r>
        <w:rPr>
          <w:szCs w:val="18"/>
        </w:rPr>
        <w:t>, available at</w:t>
      </w:r>
      <w:r w:rsidRPr="00BB757A">
        <w:rPr>
          <w:szCs w:val="18"/>
        </w:rPr>
        <w:t xml:space="preserve"> https://www.internal-displacement.org/global-report/grid2020/</w:t>
      </w:r>
      <w:r>
        <w:rPr>
          <w:szCs w:val="18"/>
        </w:rPr>
        <w:t>.</w:t>
      </w:r>
    </w:p>
  </w:footnote>
  <w:footnote w:id="15">
    <w:p w14:paraId="2663CBC2" w14:textId="5BA3E5AA" w:rsidR="00F36E7C" w:rsidRPr="00CB53CB" w:rsidRDefault="00F36E7C" w:rsidP="00455870">
      <w:pPr>
        <w:pStyle w:val="FootnoteText"/>
        <w:rPr>
          <w:szCs w:val="18"/>
        </w:rPr>
      </w:pPr>
      <w:r w:rsidRPr="009848C1">
        <w:rPr>
          <w:rFonts w:asciiTheme="majorHAnsi" w:hAnsiTheme="majorHAnsi" w:cstheme="majorHAnsi"/>
          <w:szCs w:val="18"/>
        </w:rPr>
        <w:tab/>
      </w:r>
      <w:r w:rsidRPr="00386A5B">
        <w:rPr>
          <w:rStyle w:val="FootnoteReference"/>
        </w:rPr>
        <w:footnoteRef/>
      </w:r>
      <w:r w:rsidRPr="00CB53CB">
        <w:rPr>
          <w:rFonts w:asciiTheme="majorHAnsi" w:hAnsiTheme="majorHAnsi" w:cstheme="majorHAnsi"/>
          <w:szCs w:val="18"/>
        </w:rPr>
        <w:t xml:space="preserve"> </w:t>
      </w:r>
      <w:r w:rsidRPr="00CB53CB">
        <w:rPr>
          <w:rFonts w:asciiTheme="majorHAnsi" w:hAnsiTheme="majorHAnsi" w:cstheme="majorHAnsi"/>
          <w:szCs w:val="18"/>
        </w:rPr>
        <w:tab/>
      </w:r>
      <w:r w:rsidRPr="00D92398">
        <w:rPr>
          <w:i/>
          <w:iCs/>
          <w:szCs w:val="18"/>
        </w:rPr>
        <w:t>Teitiota v. New Zealand</w:t>
      </w:r>
      <w:r w:rsidR="00E67CF5">
        <w:rPr>
          <w:szCs w:val="18"/>
        </w:rPr>
        <w:t xml:space="preserve"> </w:t>
      </w:r>
      <w:r w:rsidRPr="00D92398">
        <w:rPr>
          <w:szCs w:val="18"/>
        </w:rPr>
        <w:t>(</w:t>
      </w:r>
      <w:hyperlink r:id="rId14" w:history="1">
        <w:r w:rsidRPr="00A65462">
          <w:rPr>
            <w:rStyle w:val="Hyperlink"/>
            <w:szCs w:val="18"/>
          </w:rPr>
          <w:t>CCPR/C/127/D/2728/2016</w:t>
        </w:r>
      </w:hyperlink>
      <w:r w:rsidRPr="00D92398">
        <w:rPr>
          <w:szCs w:val="18"/>
        </w:rPr>
        <w:t>), para. 10.</w:t>
      </w:r>
    </w:p>
  </w:footnote>
  <w:footnote w:id="16">
    <w:p w14:paraId="5D8C9356" w14:textId="77777777" w:rsidR="00F36E7C" w:rsidRPr="00BB757A" w:rsidRDefault="00F36E7C" w:rsidP="00455870">
      <w:pPr>
        <w:pStyle w:val="FootnoteText"/>
        <w:rPr>
          <w:szCs w:val="18"/>
        </w:rPr>
      </w:pPr>
      <w:r w:rsidRPr="00CB53CB">
        <w:rPr>
          <w:szCs w:val="18"/>
        </w:rPr>
        <w:tab/>
      </w:r>
      <w:r w:rsidRPr="00386A5B">
        <w:rPr>
          <w:rStyle w:val="FootnoteReference"/>
        </w:rPr>
        <w:footnoteRef/>
      </w:r>
      <w:r w:rsidRPr="009848C1">
        <w:rPr>
          <w:rFonts w:asciiTheme="majorHAnsi" w:hAnsiTheme="majorHAnsi" w:cstheme="majorHAnsi"/>
        </w:rPr>
        <w:t xml:space="preserve"> </w:t>
      </w:r>
      <w:r w:rsidRPr="00BB757A">
        <w:rPr>
          <w:szCs w:val="18"/>
        </w:rPr>
        <w:tab/>
      </w:r>
      <w:r>
        <w:rPr>
          <w:szCs w:val="18"/>
        </w:rPr>
        <w:t xml:space="preserve">See </w:t>
      </w:r>
      <w:r w:rsidRPr="00BB757A">
        <w:rPr>
          <w:szCs w:val="18"/>
        </w:rPr>
        <w:t>https://www.ohchr.org/en/statements/2022/05/forcibly-displaced-lgbt-persons-face-major-challenges-search-safe-haven.</w:t>
      </w:r>
    </w:p>
  </w:footnote>
  <w:footnote w:id="17">
    <w:p w14:paraId="74FD3D7B" w14:textId="7317E7E6" w:rsidR="00F36E7C" w:rsidRPr="00BB757A" w:rsidRDefault="0066272B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="00F36E7C"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 w:rsidR="00F36E7C" w:rsidRPr="00BB757A">
        <w:t xml:space="preserve">Climate Change Laws of the World, </w:t>
      </w:r>
      <w:r w:rsidR="00F36E7C">
        <w:t xml:space="preserve">available at </w:t>
      </w:r>
      <w:hyperlink r:id="rId15" w:history="1">
        <w:r w:rsidR="002E3EB3" w:rsidRPr="0040742C">
          <w:rPr>
            <w:rStyle w:val="Hyperlink"/>
          </w:rPr>
          <w:t>http://climate-laws.org</w:t>
        </w:r>
      </w:hyperlink>
      <w:r w:rsidR="00F36E7C">
        <w:t xml:space="preserve"> (2022)</w:t>
      </w:r>
      <w:r w:rsidR="00F36E7C" w:rsidRPr="00BB757A">
        <w:t>.</w:t>
      </w:r>
    </w:p>
  </w:footnote>
  <w:footnote w:id="18">
    <w:p w14:paraId="7AAF6C9E" w14:textId="5FE9B9DC" w:rsidR="00F36E7C" w:rsidRPr="00F41420" w:rsidRDefault="00F36E7C" w:rsidP="001B4D4A">
      <w:pPr>
        <w:pStyle w:val="Footnote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 xml:space="preserve">UNEP, </w:t>
      </w:r>
      <w:r w:rsidRPr="00B5673E">
        <w:rPr>
          <w:i/>
          <w:iCs/>
        </w:rPr>
        <w:t>Global Climate Litigation Report: 2020 Status Review</w:t>
      </w:r>
      <w:r>
        <w:t xml:space="preserve"> (Nairobi, 2020)</w:t>
      </w:r>
      <w:r w:rsidRPr="00BB757A">
        <w:t xml:space="preserve">, </w:t>
      </w:r>
      <w:r>
        <w:t xml:space="preserve">available at </w:t>
      </w:r>
      <w:r w:rsidRPr="00BB757A">
        <w:t>https://www.unep.org/resources/report/global-climate-litigation-report-2020-status-review.</w:t>
      </w:r>
    </w:p>
  </w:footnote>
  <w:footnote w:id="19">
    <w:p w14:paraId="36E6D2D3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  <w:sz w:val="20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ab/>
      </w:r>
      <w:r w:rsidRPr="00BB757A">
        <w:t xml:space="preserve">Financial Stability Board, </w:t>
      </w:r>
      <w:r w:rsidRPr="00DE193C">
        <w:rPr>
          <w:i/>
          <w:iCs/>
        </w:rPr>
        <w:t>Recommendations of the Task Force on Climate-related Financial Disclosures</w:t>
      </w:r>
      <w:r>
        <w:t xml:space="preserve"> (Basel, Switzerland, 2017)</w:t>
      </w:r>
      <w:r w:rsidRPr="00BB757A">
        <w:t xml:space="preserve">, </w:t>
      </w:r>
      <w:r>
        <w:t xml:space="preserve">available at </w:t>
      </w:r>
      <w:r w:rsidRPr="00BB757A">
        <w:t>https://assets.bbhub.io/company/sites/60/2020/10/FINAL-2017-TCFD-Report-11052018.pdf.</w:t>
      </w:r>
    </w:p>
  </w:footnote>
  <w:footnote w:id="20">
    <w:p w14:paraId="5032B202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 w:rsidRPr="00F41420">
        <w:rPr>
          <w:rFonts w:asciiTheme="majorHAnsi" w:hAnsiTheme="majorHAnsi" w:cstheme="majorHAnsi"/>
        </w:rPr>
        <w:t xml:space="preserve"> </w:t>
      </w:r>
      <w:r w:rsidRPr="00BB757A">
        <w:t xml:space="preserve">Carbon Disclosure Project, </w:t>
      </w:r>
      <w:r w:rsidRPr="00727B12">
        <w:rPr>
          <w:i/>
          <w:iCs/>
        </w:rPr>
        <w:t>Climate Change</w:t>
      </w:r>
      <w:r>
        <w:t xml:space="preserve"> (2022)</w:t>
      </w:r>
      <w:r w:rsidRPr="00BB757A">
        <w:t xml:space="preserve">, </w:t>
      </w:r>
      <w:r>
        <w:t xml:space="preserve">available at </w:t>
      </w:r>
      <w:r w:rsidRPr="00BB757A">
        <w:t>https://www.cdp.net/en/climate</w:t>
      </w:r>
      <w:r>
        <w:t>.</w:t>
      </w:r>
    </w:p>
  </w:footnote>
  <w:footnote w:id="21">
    <w:p w14:paraId="43E3C9E6" w14:textId="5A6E5A5C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="00E67CF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t xml:space="preserve">See </w:t>
      </w:r>
      <w:r w:rsidRPr="009715AE">
        <w:t>https://www.ilo.org/wcmsp5/groups/public/@ed_emp/@emp_ent/documents/publication/wcms_432859.pdf</w:t>
      </w:r>
      <w:r>
        <w:t>.</w:t>
      </w:r>
    </w:p>
  </w:footnote>
  <w:footnote w:id="22">
    <w:p w14:paraId="14C547DC" w14:textId="60CD49E7" w:rsidR="00F36E7C" w:rsidRPr="00512348" w:rsidRDefault="00783382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r w:rsidR="00F36E7C">
        <w:rPr>
          <w:lang w:val="en-US"/>
        </w:rPr>
        <w:t xml:space="preserve">See </w:t>
      </w:r>
      <w:r w:rsidR="00F36E7C" w:rsidRPr="00D573E4">
        <w:rPr>
          <w:lang w:val="en-US"/>
        </w:rPr>
        <w:t>https://www.ipcc.ch/report/sixth-assessment-report-working-group-3/</w:t>
      </w:r>
      <w:r w:rsidR="00F36E7C">
        <w:rPr>
          <w:lang w:val="en-US"/>
        </w:rPr>
        <w:t>, Technical Summary.</w:t>
      </w:r>
    </w:p>
  </w:footnote>
  <w:footnote w:id="23">
    <w:p w14:paraId="6F628B73" w14:textId="3317B765" w:rsidR="00F36E7C" w:rsidRPr="0083771B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16" w:history="1">
        <w:r w:rsidR="00F36E7C" w:rsidRPr="005C1B8E">
          <w:rPr>
            <w:rStyle w:val="Hyperlink"/>
            <w:lang w:val="en-US"/>
          </w:rPr>
          <w:t>A/74/161</w:t>
        </w:r>
      </w:hyperlink>
      <w:r w:rsidR="00F36E7C" w:rsidRPr="00174E1A">
        <w:rPr>
          <w:color w:val="000000" w:themeColor="text1"/>
          <w:lang w:val="en-US"/>
        </w:rPr>
        <w:t xml:space="preserve"> and </w:t>
      </w:r>
      <w:hyperlink r:id="rId17" w:history="1">
        <w:r w:rsidR="00F36E7C" w:rsidRPr="005C1B8E">
          <w:rPr>
            <w:rStyle w:val="Hyperlink"/>
            <w:lang w:val="en-US"/>
          </w:rPr>
          <w:t>A/HRC/49/53</w:t>
        </w:r>
      </w:hyperlink>
      <w:r w:rsidR="00F36E7C" w:rsidRPr="0083771B">
        <w:rPr>
          <w:rStyle w:val="Hyperlink"/>
          <w:color w:val="000000" w:themeColor="text1"/>
          <w:lang w:val="en-US"/>
        </w:rPr>
        <w:t>.</w:t>
      </w:r>
    </w:p>
  </w:footnote>
  <w:footnote w:id="24">
    <w:p w14:paraId="328CB463" w14:textId="2E7A23F1" w:rsidR="00F36E7C" w:rsidRPr="00F072F5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18" w:history="1">
        <w:r w:rsidR="00F36E7C" w:rsidRPr="005C1B8E">
          <w:rPr>
            <w:rStyle w:val="Hyperlink"/>
          </w:rPr>
          <w:t>A/HRC/43/53/Add.1</w:t>
        </w:r>
      </w:hyperlink>
      <w:r w:rsidR="00F36E7C">
        <w:rPr>
          <w:rStyle w:val="Hyperlink"/>
          <w:color w:val="000000" w:themeColor="text1"/>
        </w:rPr>
        <w:t>,</w:t>
      </w:r>
      <w:r w:rsidR="00F36E7C" w:rsidRPr="0083771B">
        <w:rPr>
          <w:rStyle w:val="Hyperlink"/>
          <w:color w:val="000000" w:themeColor="text1"/>
        </w:rPr>
        <w:t xml:space="preserve"> </w:t>
      </w:r>
      <w:hyperlink r:id="rId19" w:history="1">
        <w:r w:rsidR="00F36E7C" w:rsidRPr="005C1B8E">
          <w:rPr>
            <w:rStyle w:val="Hyperlink"/>
          </w:rPr>
          <w:t>A/HRC/43/53/Add.2</w:t>
        </w:r>
      </w:hyperlink>
      <w:r w:rsidR="00F36E7C">
        <w:rPr>
          <w:rStyle w:val="Hyperlink"/>
          <w:color w:val="000000" w:themeColor="text1"/>
        </w:rPr>
        <w:t xml:space="preserve"> and </w:t>
      </w:r>
      <w:hyperlink r:id="rId20" w:history="1">
        <w:r w:rsidR="00F36E7C" w:rsidRPr="005C1B8E">
          <w:rPr>
            <w:rStyle w:val="Hyperlink"/>
          </w:rPr>
          <w:t>A/HRC/49/53/Add.1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25">
    <w:p w14:paraId="5AF10C4F" w14:textId="54DA7D0F" w:rsidR="00F36E7C" w:rsidRPr="00726CC5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r w:rsidR="00F36E7C" w:rsidRPr="00726CC5">
        <w:rPr>
          <w:color w:val="000000"/>
          <w:shd w:val="clear" w:color="auto" w:fill="FFFFFF"/>
        </w:rPr>
        <w:t>See</w:t>
      </w:r>
      <w:r>
        <w:rPr>
          <w:color w:val="000000"/>
          <w:shd w:val="clear" w:color="auto" w:fill="FFFFFF"/>
        </w:rPr>
        <w:t xml:space="preserve"> </w:t>
      </w:r>
      <w:r w:rsidR="00454838">
        <w:rPr>
          <w:color w:val="000000"/>
          <w:shd w:val="clear" w:color="auto" w:fill="FFFFFF"/>
        </w:rPr>
        <w:t>“</w:t>
      </w:r>
      <w:r w:rsidR="00F36E7C" w:rsidRPr="00726CC5">
        <w:rPr>
          <w:color w:val="000000"/>
          <w:shd w:val="clear" w:color="auto" w:fill="FFFFFF"/>
        </w:rPr>
        <w:t>Special thematic report on climate change and the human rights to water and sanitation</w:t>
      </w:r>
      <w:r w:rsidR="00454838">
        <w:rPr>
          <w:color w:val="000000"/>
          <w:shd w:val="clear" w:color="auto" w:fill="FFFFFF"/>
        </w:rPr>
        <w:t>”</w:t>
      </w:r>
      <w:r w:rsidR="00F36E7C" w:rsidRPr="00726CC5">
        <w:rPr>
          <w:color w:val="000000"/>
          <w:shd w:val="clear" w:color="auto" w:fill="FFFFFF"/>
        </w:rPr>
        <w:t xml:space="preserve"> (2022), available at </w:t>
      </w:r>
      <w:r w:rsidR="00F36E7C" w:rsidRPr="00D573E4">
        <w:rPr>
          <w:bdr w:val="none" w:sz="0" w:space="0" w:color="auto" w:frame="1"/>
          <w:shd w:val="clear" w:color="auto" w:fill="FFFFFF"/>
        </w:rPr>
        <w:t>https://www.ohchr.org/en/special-procedures/sr-water-and-sanitation/annual-reports</w:t>
      </w:r>
      <w:r w:rsidR="00F36E7C" w:rsidRPr="00726CC5">
        <w:rPr>
          <w:bdr w:val="none" w:sz="0" w:space="0" w:color="auto" w:frame="1"/>
          <w:shd w:val="clear" w:color="auto" w:fill="FFFFFF"/>
        </w:rPr>
        <w:t>.</w:t>
      </w:r>
    </w:p>
  </w:footnote>
  <w:footnote w:id="26">
    <w:p w14:paraId="6C722470" w14:textId="2A2D5129" w:rsidR="00F36E7C" w:rsidRPr="00EC6F85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1" w:history="1">
        <w:r w:rsidR="00F36E7C" w:rsidRPr="005C1B8E">
          <w:rPr>
            <w:rStyle w:val="Hyperlink"/>
            <w:lang w:val="en-US"/>
          </w:rPr>
          <w:t>A/64/255</w:t>
        </w:r>
      </w:hyperlink>
      <w:r w:rsidR="00F36E7C" w:rsidRPr="005C1B8E">
        <w:rPr>
          <w:lang w:val="en-US"/>
        </w:rPr>
        <w:t>.</w:t>
      </w:r>
    </w:p>
  </w:footnote>
  <w:footnote w:id="27">
    <w:p w14:paraId="71ECD28C" w14:textId="64C9190E" w:rsidR="00F36E7C" w:rsidRPr="00416140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2" w:history="1">
        <w:r w:rsidR="00F36E7C" w:rsidRPr="005C1B8E">
          <w:rPr>
            <w:rStyle w:val="Hyperlink"/>
          </w:rPr>
          <w:t>A/HRC/47/43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28">
    <w:p w14:paraId="25563A6C" w14:textId="39F62B34" w:rsidR="00F36E7C" w:rsidRPr="00BB757A" w:rsidRDefault="002D1404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="00F36E7C" w:rsidRPr="00386A5B">
        <w:rPr>
          <w:rStyle w:val="FootnoteReference"/>
        </w:rPr>
        <w:footnoteRef/>
      </w:r>
      <w:r w:rsidR="00F36E7C">
        <w:rPr>
          <w:rFonts w:asciiTheme="majorHAnsi" w:hAnsiTheme="majorHAnsi" w:cstheme="majorHAnsi"/>
        </w:rPr>
        <w:tab/>
      </w:r>
      <w:r w:rsidR="00F36E7C" w:rsidRPr="00BB757A">
        <w:t>See call for input</w:t>
      </w:r>
      <w:r w:rsidR="00F36E7C">
        <w:t>s,</w:t>
      </w:r>
      <w:r w:rsidR="00F36E7C" w:rsidRPr="00BB757A">
        <w:t xml:space="preserve"> </w:t>
      </w:r>
      <w:r w:rsidR="00F36E7C">
        <w:t xml:space="preserve">available at </w:t>
      </w:r>
      <w:hyperlink r:id="rId23" w:history="1">
        <w:r w:rsidR="005C1B8E" w:rsidRPr="0040742C">
          <w:rPr>
            <w:rStyle w:val="Hyperlink"/>
          </w:rPr>
          <w:t>https://www.ohchr.org/en/calls-for-input/calls-input/call-input-right-adequate-housing-and-climate-change</w:t>
        </w:r>
      </w:hyperlink>
      <w:r w:rsidR="00F36E7C">
        <w:t>.</w:t>
      </w:r>
    </w:p>
  </w:footnote>
  <w:footnote w:id="29">
    <w:p w14:paraId="780C1AEC" w14:textId="15E7756B" w:rsidR="00F36E7C" w:rsidRPr="00FB0B34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4" w:history="1">
        <w:r w:rsidR="00F36E7C" w:rsidRPr="005C1B8E">
          <w:rPr>
            <w:rStyle w:val="Hyperlink"/>
          </w:rPr>
          <w:t>A/74/164</w:t>
        </w:r>
      </w:hyperlink>
      <w:r w:rsidR="00F36E7C">
        <w:rPr>
          <w:rStyle w:val="Hyperlink"/>
        </w:rPr>
        <w:t>.</w:t>
      </w:r>
    </w:p>
  </w:footnote>
  <w:footnote w:id="30">
    <w:p w14:paraId="0371B9D6" w14:textId="29DAD07A" w:rsidR="00F36E7C" w:rsidRPr="00FD5AE3" w:rsidRDefault="002D1404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5" w:history="1">
        <w:r w:rsidR="00F36E7C" w:rsidRPr="005C1B8E">
          <w:rPr>
            <w:rStyle w:val="Hyperlink"/>
          </w:rPr>
          <w:t>A/70/287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1">
    <w:p w14:paraId="3CF30203" w14:textId="77B78E86" w:rsidR="00F36E7C" w:rsidRPr="0037784A" w:rsidRDefault="005C1B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6" w:history="1">
        <w:r w:rsidR="00F36E7C" w:rsidRPr="005C1B8E">
          <w:rPr>
            <w:rStyle w:val="Hyperlink"/>
          </w:rPr>
          <w:t>A/HRC/40/53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2">
    <w:p w14:paraId="51A0FA91" w14:textId="037CFCDD" w:rsidR="00F36E7C" w:rsidRPr="005B76C6" w:rsidRDefault="005C1B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7" w:history="1">
        <w:r w:rsidR="00F36E7C" w:rsidRPr="005C1B8E">
          <w:rPr>
            <w:rStyle w:val="Hyperlink"/>
          </w:rPr>
          <w:t>A/75/298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3">
    <w:p w14:paraId="27B95F79" w14:textId="1E031FBB" w:rsidR="00F36E7C" w:rsidRPr="00A61B43" w:rsidRDefault="005C1B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28" w:history="1">
        <w:r w:rsidR="00F36E7C" w:rsidRPr="005C1B8E">
          <w:rPr>
            <w:rStyle w:val="Hyperlink"/>
          </w:rPr>
          <w:t>A/HRC/43/50/Add.2</w:t>
        </w:r>
      </w:hyperlink>
      <w:r w:rsidR="00F36E7C">
        <w:rPr>
          <w:rStyle w:val="Hyperlink"/>
          <w:color w:val="000000" w:themeColor="text1"/>
        </w:rPr>
        <w:t xml:space="preserve"> and</w:t>
      </w:r>
      <w:r w:rsidR="00F36E7C">
        <w:rPr>
          <w:lang w:val="en-US"/>
        </w:rPr>
        <w:t xml:space="preserve"> </w:t>
      </w:r>
      <w:hyperlink r:id="rId29" w:history="1">
        <w:r w:rsidR="00F36E7C" w:rsidRPr="005C1B8E">
          <w:rPr>
            <w:rStyle w:val="Hyperlink"/>
          </w:rPr>
          <w:t>A/HRC/46/34/Add.1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4">
    <w:p w14:paraId="0D9073C9" w14:textId="5A010B36" w:rsidR="00F36E7C" w:rsidRPr="00A76736" w:rsidRDefault="005C1B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0" w:history="1">
        <w:r w:rsidR="00F36E7C" w:rsidRPr="0052127A">
          <w:rPr>
            <w:rStyle w:val="Hyperlink"/>
          </w:rPr>
          <w:t>A/71/304</w:t>
        </w:r>
      </w:hyperlink>
      <w:r w:rsidR="00F36E7C" w:rsidRPr="0052127A">
        <w:t xml:space="preserve"> and </w:t>
      </w:r>
      <w:hyperlink r:id="rId31" w:history="1">
        <w:r w:rsidR="00F36E7C" w:rsidRPr="0052127A">
          <w:rPr>
            <w:rStyle w:val="Hyperlink"/>
          </w:rPr>
          <w:t>A/74/174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5">
    <w:p w14:paraId="79B69CCA" w14:textId="50309779" w:rsidR="00F36E7C" w:rsidRPr="00A76736" w:rsidRDefault="0052127A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2" w:history="1">
        <w:r w:rsidR="00F36E7C" w:rsidRPr="0052127A">
          <w:rPr>
            <w:rStyle w:val="Hyperlink"/>
            <w:lang w:val="en-US"/>
          </w:rPr>
          <w:t>A/HRC/48/56</w:t>
        </w:r>
      </w:hyperlink>
      <w:r w:rsidR="00F36E7C">
        <w:rPr>
          <w:color w:val="000000" w:themeColor="text1"/>
          <w:lang w:val="en-US"/>
        </w:rPr>
        <w:t>.</w:t>
      </w:r>
    </w:p>
  </w:footnote>
  <w:footnote w:id="36">
    <w:p w14:paraId="6DA9E91E" w14:textId="330A2811" w:rsidR="00F36E7C" w:rsidRPr="00CB0F5A" w:rsidRDefault="0052127A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3" w:history="1">
        <w:r w:rsidR="00F36E7C" w:rsidRPr="0052127A">
          <w:rPr>
            <w:rStyle w:val="Hyperlink"/>
          </w:rPr>
          <w:t>A/76/222</w:t>
        </w:r>
      </w:hyperlink>
      <w:r w:rsidR="00F36E7C">
        <w:rPr>
          <w:rStyle w:val="Hyperlink"/>
          <w:color w:val="000000" w:themeColor="text1"/>
        </w:rPr>
        <w:t>.</w:t>
      </w:r>
    </w:p>
  </w:footnote>
  <w:footnote w:id="37">
    <w:p w14:paraId="2A6107EE" w14:textId="6799B4CC" w:rsidR="00F36E7C" w:rsidRPr="0052127A" w:rsidRDefault="0052127A" w:rsidP="00455870">
      <w:pPr>
        <w:pStyle w:val="FootnoteText"/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4" w:history="1">
        <w:r w:rsidR="00F36E7C" w:rsidRPr="0052127A">
          <w:rPr>
            <w:rStyle w:val="Hyperlink"/>
          </w:rPr>
          <w:t>A/HRC/42/38</w:t>
        </w:r>
      </w:hyperlink>
      <w:r w:rsidR="00F36E7C" w:rsidRPr="0052127A">
        <w:t xml:space="preserve"> and </w:t>
      </w:r>
      <w:hyperlink r:id="rId35" w:history="1">
        <w:r w:rsidR="00F36E7C" w:rsidRPr="0052127A">
          <w:rPr>
            <w:rStyle w:val="Hyperlink"/>
          </w:rPr>
          <w:t>A/74/349</w:t>
        </w:r>
      </w:hyperlink>
      <w:r w:rsidR="00F36E7C" w:rsidRPr="0052127A">
        <w:t>.</w:t>
      </w:r>
    </w:p>
  </w:footnote>
  <w:footnote w:id="38">
    <w:p w14:paraId="6779FBD1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>
        <w:rPr>
          <w:rFonts w:asciiTheme="majorHAnsi" w:hAnsiTheme="majorHAnsi" w:cstheme="majorHAnsi"/>
        </w:rPr>
        <w:tab/>
      </w:r>
      <w:r w:rsidRPr="00BB757A">
        <w:t>See call for input</w:t>
      </w:r>
      <w:r>
        <w:t>s,</w:t>
      </w:r>
      <w:r w:rsidRPr="00BB757A">
        <w:t xml:space="preserve"> </w:t>
      </w:r>
      <w:r>
        <w:t xml:space="preserve">available at </w:t>
      </w:r>
      <w:r w:rsidRPr="00BB757A">
        <w:t>https://www.ohchr.</w:t>
      </w:r>
      <w:r w:rsidRPr="001556D4">
        <w:t>org</w:t>
      </w:r>
      <w:r w:rsidRPr="00BB757A">
        <w:t>/EN/Issues/Women/SRWomen/Pages/climatecrisis.aspx</w:t>
      </w:r>
      <w:r>
        <w:t>.</w:t>
      </w:r>
    </w:p>
  </w:footnote>
  <w:footnote w:id="39">
    <w:p w14:paraId="4DBE7045" w14:textId="0550E9B2" w:rsidR="00F36E7C" w:rsidRPr="00A95EA5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6" w:history="1">
        <w:r w:rsidR="00F36E7C" w:rsidRPr="005C188E">
          <w:rPr>
            <w:rStyle w:val="Hyperlink"/>
          </w:rPr>
          <w:t>A/HRC/42/44</w:t>
        </w:r>
      </w:hyperlink>
      <w:r w:rsidR="00F36E7C">
        <w:rPr>
          <w:rStyle w:val="Hyperlink"/>
        </w:rPr>
        <w:t>.</w:t>
      </w:r>
    </w:p>
  </w:footnote>
  <w:footnote w:id="40">
    <w:p w14:paraId="1DE5DDC3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>See call for input</w:t>
      </w:r>
      <w:r>
        <w:t>s,</w:t>
      </w:r>
      <w:r w:rsidRPr="00BB757A">
        <w:t xml:space="preserve"> </w:t>
      </w:r>
      <w:r>
        <w:t xml:space="preserve">available at </w:t>
      </w:r>
      <w:r w:rsidRPr="00BB757A">
        <w:t>https://www.ohchr.org/en/calls-for-input/calls-input/call-inputs-trafficking-persons-context-climate-change</w:t>
      </w:r>
      <w:r>
        <w:t>.</w:t>
      </w:r>
    </w:p>
  </w:footnote>
  <w:footnote w:id="41">
    <w:p w14:paraId="16793B63" w14:textId="4AC65883" w:rsidR="00F36E7C" w:rsidRPr="0019659E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37" w:history="1">
        <w:r w:rsidR="00F36E7C" w:rsidRPr="005C188E">
          <w:rPr>
            <w:rStyle w:val="Hyperlink"/>
            <w:lang w:val="en-US"/>
          </w:rPr>
          <w:t>A/64/214</w:t>
        </w:r>
      </w:hyperlink>
      <w:r w:rsidR="00F36E7C" w:rsidRPr="00C94AA4">
        <w:rPr>
          <w:color w:val="000000" w:themeColor="text1"/>
          <w:lang w:val="en-US"/>
        </w:rPr>
        <w:t xml:space="preserve">, </w:t>
      </w:r>
      <w:hyperlink r:id="rId38" w:history="1">
        <w:r w:rsidR="00F36E7C" w:rsidRPr="005C188E">
          <w:rPr>
            <w:rStyle w:val="Hyperlink"/>
            <w:lang w:val="en-US"/>
          </w:rPr>
          <w:t>A/66/285</w:t>
        </w:r>
      </w:hyperlink>
      <w:r w:rsidR="00F36E7C" w:rsidRPr="00C94AA4">
        <w:rPr>
          <w:color w:val="000000" w:themeColor="text1"/>
          <w:lang w:val="en-US"/>
        </w:rPr>
        <w:t xml:space="preserve"> and </w:t>
      </w:r>
      <w:hyperlink r:id="rId39" w:history="1">
        <w:r w:rsidR="00F36E7C" w:rsidRPr="005C188E">
          <w:rPr>
            <w:rStyle w:val="Hyperlink"/>
            <w:lang w:val="en-US"/>
          </w:rPr>
          <w:t>A/75/207</w:t>
        </w:r>
      </w:hyperlink>
      <w:r w:rsidR="00F36E7C">
        <w:rPr>
          <w:color w:val="000000" w:themeColor="text1"/>
          <w:lang w:val="en-US"/>
        </w:rPr>
        <w:t>.</w:t>
      </w:r>
    </w:p>
  </w:footnote>
  <w:footnote w:id="42">
    <w:p w14:paraId="43E80B9F" w14:textId="78C5B15E" w:rsidR="00F36E7C" w:rsidRPr="001A490C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0" w:history="1">
        <w:r w:rsidR="00F36E7C" w:rsidRPr="005C188E">
          <w:rPr>
            <w:rStyle w:val="Hyperlink"/>
            <w:lang w:val="en-US"/>
          </w:rPr>
          <w:t>A/67/299</w:t>
        </w:r>
      </w:hyperlink>
      <w:r w:rsidR="00F36E7C">
        <w:rPr>
          <w:color w:val="000000" w:themeColor="text1"/>
          <w:lang w:val="en-US"/>
        </w:rPr>
        <w:t>.</w:t>
      </w:r>
    </w:p>
  </w:footnote>
  <w:footnote w:id="43">
    <w:p w14:paraId="3812B79E" w14:textId="77777777" w:rsidR="00F36E7C" w:rsidRPr="00BB757A" w:rsidRDefault="00F36E7C" w:rsidP="00455870">
      <w:pPr>
        <w:pStyle w:val="FootnoteText"/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>See call for input</w:t>
      </w:r>
      <w:r>
        <w:t>s,</w:t>
      </w:r>
      <w:r w:rsidRPr="00BB757A">
        <w:t xml:space="preserve"> </w:t>
      </w:r>
      <w:r>
        <w:t xml:space="preserve">available at </w:t>
      </w:r>
      <w:r w:rsidRPr="00BB757A">
        <w:t>https://www.ohchr.org/en/calls-for-input/calls-input/report-impact-climate-change-and-protection-human-rights-migrants</w:t>
      </w:r>
      <w:r>
        <w:t>.</w:t>
      </w:r>
    </w:p>
  </w:footnote>
  <w:footnote w:id="44">
    <w:p w14:paraId="411AEE9B" w14:textId="2CBFBD93" w:rsidR="00F36E7C" w:rsidRPr="000B7C21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1" w:history="1">
        <w:r w:rsidR="00F36E7C" w:rsidRPr="005C188E">
          <w:rPr>
            <w:rStyle w:val="Hyperlink"/>
            <w:lang w:val="en-US"/>
          </w:rPr>
          <w:t>A/HRC/48/78</w:t>
        </w:r>
      </w:hyperlink>
      <w:r w:rsidR="00F36E7C">
        <w:rPr>
          <w:color w:val="000000" w:themeColor="text1"/>
          <w:lang w:val="en-US"/>
        </w:rPr>
        <w:t>.</w:t>
      </w:r>
    </w:p>
  </w:footnote>
  <w:footnote w:id="45">
    <w:p w14:paraId="414091B7" w14:textId="77777777" w:rsidR="00F36E7C" w:rsidRPr="00F41420" w:rsidRDefault="00F36E7C" w:rsidP="00455870">
      <w:pPr>
        <w:pStyle w:val="FootnoteTex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ab/>
      </w:r>
      <w:r w:rsidRPr="00386A5B">
        <w:rPr>
          <w:rStyle w:val="FootnoteReference"/>
        </w:rPr>
        <w:footnoteRef/>
      </w:r>
      <w:r w:rsidRPr="00F4142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B757A">
        <w:t>See call for input</w:t>
      </w:r>
      <w:r>
        <w:t>s,</w:t>
      </w:r>
      <w:r w:rsidRPr="00BB757A">
        <w:t xml:space="preserve"> </w:t>
      </w:r>
      <w:r>
        <w:t xml:space="preserve">available at </w:t>
      </w:r>
      <w:r w:rsidRPr="00BB757A">
        <w:t>https://www.</w:t>
      </w:r>
      <w:r w:rsidRPr="001556D4">
        <w:t>ohchr</w:t>
      </w:r>
      <w:r w:rsidRPr="00BB757A">
        <w:t>.org/en/calls-for-input/calls-input/call-submissions-2022-report-climate-and-racial-justice-general</w:t>
      </w:r>
      <w:r>
        <w:t>.</w:t>
      </w:r>
    </w:p>
  </w:footnote>
  <w:footnote w:id="46">
    <w:p w14:paraId="6522F86A" w14:textId="73EC8E3B" w:rsidR="00F36E7C" w:rsidRPr="00AF3533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2" w:history="1">
        <w:r w:rsidR="00F36E7C" w:rsidRPr="005C188E">
          <w:rPr>
            <w:rStyle w:val="Hyperlink"/>
          </w:rPr>
          <w:t>A/71/254</w:t>
        </w:r>
      </w:hyperlink>
      <w:r w:rsidR="00F36E7C">
        <w:rPr>
          <w:rStyle w:val="Hyperlink"/>
        </w:rPr>
        <w:t>.</w:t>
      </w:r>
    </w:p>
  </w:footnote>
  <w:footnote w:id="47">
    <w:p w14:paraId="09A0D9AC" w14:textId="6ADC1571" w:rsidR="00F36E7C" w:rsidRPr="0027263D" w:rsidRDefault="005C188E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3" w:history="1">
        <w:r w:rsidR="00F36E7C" w:rsidRPr="005C188E">
          <w:rPr>
            <w:rStyle w:val="Hyperlink"/>
          </w:rPr>
          <w:t>A/HRC/36/46</w:t>
        </w:r>
      </w:hyperlink>
      <w:r w:rsidR="00F36E7C">
        <w:rPr>
          <w:rStyle w:val="Hyperlink"/>
          <w:color w:val="1155CC"/>
        </w:rPr>
        <w:t>.</w:t>
      </w:r>
    </w:p>
  </w:footnote>
  <w:footnote w:id="48">
    <w:p w14:paraId="7ACB42D2" w14:textId="36A7A363" w:rsidR="00F36E7C" w:rsidRPr="007A2F91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4" w:history="1">
        <w:r w:rsidR="00F36E7C" w:rsidRPr="00EC6CDB">
          <w:rPr>
            <w:rStyle w:val="Hyperlink"/>
          </w:rPr>
          <w:t>A/73/176</w:t>
        </w:r>
      </w:hyperlink>
      <w:r w:rsidR="00F36E7C">
        <w:rPr>
          <w:rStyle w:val="Hyperlink"/>
        </w:rPr>
        <w:t>.</w:t>
      </w:r>
    </w:p>
  </w:footnote>
  <w:footnote w:id="49">
    <w:p w14:paraId="62CF59FD" w14:textId="6AD981FF" w:rsidR="00F36E7C" w:rsidRPr="00985CAB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5" w:history="1">
        <w:r w:rsidR="00F36E7C" w:rsidRPr="00EC6CDB">
          <w:rPr>
            <w:rStyle w:val="Hyperlink"/>
          </w:rPr>
          <w:t>A/HRC/37/58</w:t>
        </w:r>
      </w:hyperlink>
      <w:r w:rsidR="00F36E7C">
        <w:rPr>
          <w:rStyle w:val="Hyperlink"/>
        </w:rPr>
        <w:t>.</w:t>
      </w:r>
    </w:p>
  </w:footnote>
  <w:footnote w:id="50">
    <w:p w14:paraId="47BC27BC" w14:textId="3999FAE2" w:rsidR="00F36E7C" w:rsidRPr="00985CAB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6" w:history="1">
        <w:r w:rsidR="00F36E7C" w:rsidRPr="00EC6CDB">
          <w:rPr>
            <w:rStyle w:val="Hyperlink"/>
          </w:rPr>
          <w:t>A/71/314</w:t>
        </w:r>
      </w:hyperlink>
      <w:r w:rsidR="00F36E7C">
        <w:rPr>
          <w:rStyle w:val="Hyperlink"/>
        </w:rPr>
        <w:t>.</w:t>
      </w:r>
    </w:p>
  </w:footnote>
  <w:footnote w:id="51">
    <w:p w14:paraId="184D358F" w14:textId="0D52C404" w:rsidR="00F36E7C" w:rsidRPr="007911C0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7" w:history="1">
        <w:r w:rsidR="00F36E7C" w:rsidRPr="00EC6CDB">
          <w:rPr>
            <w:rStyle w:val="Hyperlink"/>
          </w:rPr>
          <w:t>A/HRC/42/43</w:t>
        </w:r>
      </w:hyperlink>
      <w:r w:rsidR="00F36E7C">
        <w:rPr>
          <w:rStyle w:val="Hyperlink"/>
        </w:rPr>
        <w:t>.</w:t>
      </w:r>
    </w:p>
  </w:footnote>
  <w:footnote w:id="52">
    <w:p w14:paraId="650C75C1" w14:textId="6B4BF6B1" w:rsidR="00F36E7C" w:rsidRPr="008E1816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8" w:history="1">
        <w:r w:rsidR="00F36E7C" w:rsidRPr="00EC6CDB">
          <w:rPr>
            <w:rStyle w:val="Hyperlink"/>
          </w:rPr>
          <w:t>A/HRC/41/39</w:t>
        </w:r>
      </w:hyperlink>
      <w:r w:rsidR="00F36E7C">
        <w:rPr>
          <w:rStyle w:val="Hyperlink"/>
        </w:rPr>
        <w:t>.</w:t>
      </w:r>
    </w:p>
  </w:footnote>
  <w:footnote w:id="53">
    <w:p w14:paraId="2A0E5FE8" w14:textId="1374D5C0" w:rsidR="00F36E7C" w:rsidRPr="00FD2063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49" w:history="1">
        <w:r w:rsidR="00F36E7C" w:rsidRPr="00EC6CDB">
          <w:rPr>
            <w:rStyle w:val="Hyperlink"/>
          </w:rPr>
          <w:t>A/71/281</w:t>
        </w:r>
      </w:hyperlink>
      <w:r w:rsidR="00F36E7C">
        <w:rPr>
          <w:rStyle w:val="Hyperlink"/>
        </w:rPr>
        <w:t>.</w:t>
      </w:r>
    </w:p>
  </w:footnote>
  <w:footnote w:id="54">
    <w:p w14:paraId="04820540" w14:textId="1C405AEE" w:rsidR="00F36E7C" w:rsidRPr="00C40F16" w:rsidRDefault="00EC6CDB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50" w:history="1">
        <w:r w:rsidR="00F36E7C" w:rsidRPr="00EC6CDB">
          <w:rPr>
            <w:rStyle w:val="Hyperlink"/>
          </w:rPr>
          <w:t>A/71/305</w:t>
        </w:r>
      </w:hyperlink>
      <w:r w:rsidR="00F36E7C">
        <w:rPr>
          <w:rStyle w:val="Hyperlink"/>
        </w:rPr>
        <w:t>.</w:t>
      </w:r>
    </w:p>
  </w:footnote>
  <w:footnote w:id="55">
    <w:p w14:paraId="0B10240C" w14:textId="64133633" w:rsidR="00F36E7C" w:rsidRPr="00C809CF" w:rsidRDefault="00227C2C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51" w:history="1">
        <w:r w:rsidR="00F36E7C" w:rsidRPr="00227C2C">
          <w:rPr>
            <w:rStyle w:val="Hyperlink"/>
          </w:rPr>
          <w:t>A/HRC/31/52</w:t>
        </w:r>
      </w:hyperlink>
      <w:r w:rsidR="00F36E7C">
        <w:rPr>
          <w:rStyle w:val="Hyperlink"/>
          <w:color w:val="1155CC"/>
        </w:rPr>
        <w:t>.</w:t>
      </w:r>
    </w:p>
  </w:footnote>
  <w:footnote w:id="56">
    <w:p w14:paraId="054391E4" w14:textId="277CDF2C" w:rsidR="00F36E7C" w:rsidRPr="00490063" w:rsidRDefault="00227C2C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52" w:history="1">
        <w:r w:rsidR="00F36E7C" w:rsidRPr="00A65462">
          <w:rPr>
            <w:rStyle w:val="Hyperlink"/>
            <w:lang w:val="en-US"/>
          </w:rPr>
          <w:t>A/HRC/44/44</w:t>
        </w:r>
        <w:r w:rsidR="00F36E7C" w:rsidRPr="00662E76">
          <w:rPr>
            <w:rStyle w:val="Hyperlink"/>
            <w:color w:val="auto"/>
            <w:lang w:val="en-US"/>
          </w:rPr>
          <w:t>.</w:t>
        </w:r>
      </w:hyperlink>
    </w:p>
  </w:footnote>
  <w:footnote w:id="57">
    <w:p w14:paraId="0C408DC8" w14:textId="0488D94C" w:rsidR="00F36E7C" w:rsidRPr="00490063" w:rsidRDefault="00227C2C" w:rsidP="00455870">
      <w:pPr>
        <w:pStyle w:val="FootnoteText"/>
        <w:rPr>
          <w:lang w:val="en-US"/>
        </w:rPr>
      </w:pPr>
      <w:r>
        <w:tab/>
      </w:r>
      <w:r w:rsidR="00F36E7C" w:rsidRPr="00386A5B">
        <w:rPr>
          <w:rStyle w:val="FootnoteReference"/>
        </w:rPr>
        <w:footnoteRef/>
      </w:r>
      <w:r>
        <w:tab/>
      </w:r>
      <w:hyperlink r:id="rId53" w:history="1">
        <w:r w:rsidR="00F36E7C" w:rsidRPr="00227C2C">
          <w:rPr>
            <w:rStyle w:val="Hyperlink"/>
          </w:rPr>
          <w:t>A/71/280</w:t>
        </w:r>
      </w:hyperlink>
      <w:r w:rsidR="00F36E7C">
        <w:rPr>
          <w:rStyle w:val="Hyperlin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9601" w14:textId="77777777" w:rsidR="00F36E7C" w:rsidRDefault="00F36E7C" w:rsidP="00F36E7C">
    <w:pPr>
      <w:pStyle w:val="Header"/>
    </w:pPr>
    <w:r>
      <w:t>A/HRC/50/39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2230" w14:textId="77777777" w:rsidR="00F36E7C" w:rsidRDefault="00F36E7C" w:rsidP="00F36E7C">
    <w:pPr>
      <w:pStyle w:val="Header"/>
      <w:jc w:val="right"/>
    </w:pPr>
    <w:r>
      <w:t>A/HRC/50/39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08B219AA"/>
    <w:lvl w:ilvl="0" w:tplc="D958BD80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313AF0"/>
    <w:rsid w:val="0000598D"/>
    <w:rsid w:val="00046E92"/>
    <w:rsid w:val="00063C90"/>
    <w:rsid w:val="00072607"/>
    <w:rsid w:val="00074337"/>
    <w:rsid w:val="00101B98"/>
    <w:rsid w:val="00177A22"/>
    <w:rsid w:val="001B4D4A"/>
    <w:rsid w:val="001C747F"/>
    <w:rsid w:val="002004DA"/>
    <w:rsid w:val="00227C2C"/>
    <w:rsid w:val="00227F79"/>
    <w:rsid w:val="00247E2C"/>
    <w:rsid w:val="00251841"/>
    <w:rsid w:val="002A32CB"/>
    <w:rsid w:val="002A7A57"/>
    <w:rsid w:val="002B319E"/>
    <w:rsid w:val="002B543D"/>
    <w:rsid w:val="002C161A"/>
    <w:rsid w:val="002D1404"/>
    <w:rsid w:val="002D6C53"/>
    <w:rsid w:val="002D6F95"/>
    <w:rsid w:val="002E3EB3"/>
    <w:rsid w:val="002F5595"/>
    <w:rsid w:val="00313AF0"/>
    <w:rsid w:val="00334F6A"/>
    <w:rsid w:val="00342AC8"/>
    <w:rsid w:val="00371457"/>
    <w:rsid w:val="00376F57"/>
    <w:rsid w:val="00386A5B"/>
    <w:rsid w:val="003929FC"/>
    <w:rsid w:val="003B4550"/>
    <w:rsid w:val="003E41FF"/>
    <w:rsid w:val="0040017C"/>
    <w:rsid w:val="00426F00"/>
    <w:rsid w:val="00454838"/>
    <w:rsid w:val="00455870"/>
    <w:rsid w:val="00461253"/>
    <w:rsid w:val="00486E21"/>
    <w:rsid w:val="004A2814"/>
    <w:rsid w:val="004C0622"/>
    <w:rsid w:val="004D10F9"/>
    <w:rsid w:val="005042C2"/>
    <w:rsid w:val="0051290C"/>
    <w:rsid w:val="0052127A"/>
    <w:rsid w:val="005254F7"/>
    <w:rsid w:val="005B40D7"/>
    <w:rsid w:val="005C188E"/>
    <w:rsid w:val="005C1B8E"/>
    <w:rsid w:val="005C4F37"/>
    <w:rsid w:val="005E716E"/>
    <w:rsid w:val="00600EAA"/>
    <w:rsid w:val="00621464"/>
    <w:rsid w:val="00661076"/>
    <w:rsid w:val="0066272B"/>
    <w:rsid w:val="00662E76"/>
    <w:rsid w:val="00671529"/>
    <w:rsid w:val="00682B5A"/>
    <w:rsid w:val="0070489D"/>
    <w:rsid w:val="0072285C"/>
    <w:rsid w:val="007268F9"/>
    <w:rsid w:val="00783382"/>
    <w:rsid w:val="007C52B0"/>
    <w:rsid w:val="007F5A41"/>
    <w:rsid w:val="00861B4E"/>
    <w:rsid w:val="008829E7"/>
    <w:rsid w:val="00882DAA"/>
    <w:rsid w:val="00883178"/>
    <w:rsid w:val="009411B4"/>
    <w:rsid w:val="00962A56"/>
    <w:rsid w:val="009D0139"/>
    <w:rsid w:val="009D2804"/>
    <w:rsid w:val="009D717D"/>
    <w:rsid w:val="009F5CDC"/>
    <w:rsid w:val="00A51FFF"/>
    <w:rsid w:val="00A568FC"/>
    <w:rsid w:val="00A65462"/>
    <w:rsid w:val="00A71A4C"/>
    <w:rsid w:val="00A775CF"/>
    <w:rsid w:val="00AD3F1B"/>
    <w:rsid w:val="00B06045"/>
    <w:rsid w:val="00B1675F"/>
    <w:rsid w:val="00B52EF4"/>
    <w:rsid w:val="00B64FFC"/>
    <w:rsid w:val="00B9065D"/>
    <w:rsid w:val="00BC7248"/>
    <w:rsid w:val="00C03015"/>
    <w:rsid w:val="00C0358D"/>
    <w:rsid w:val="00C23751"/>
    <w:rsid w:val="00C31E14"/>
    <w:rsid w:val="00C35A27"/>
    <w:rsid w:val="00C47B2E"/>
    <w:rsid w:val="00CA1B04"/>
    <w:rsid w:val="00D573E4"/>
    <w:rsid w:val="00DF6870"/>
    <w:rsid w:val="00E02C2B"/>
    <w:rsid w:val="00E427A5"/>
    <w:rsid w:val="00E52109"/>
    <w:rsid w:val="00E67CF5"/>
    <w:rsid w:val="00E75317"/>
    <w:rsid w:val="00EC2011"/>
    <w:rsid w:val="00EC6CDB"/>
    <w:rsid w:val="00ED6C48"/>
    <w:rsid w:val="00EF34F2"/>
    <w:rsid w:val="00F36E7C"/>
    <w:rsid w:val="00F65F5D"/>
    <w:rsid w:val="00F86A3A"/>
    <w:rsid w:val="00F87A18"/>
    <w:rsid w:val="00FC66C1"/>
    <w:rsid w:val="00FE159F"/>
    <w:rsid w:val="00FE204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D92ABCD"/>
  <w15:docId w15:val="{2CEBE851-DCBF-4835-BC0A-B226AF77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7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rsid w:val="00455870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rsid w:val="00455870"/>
    <w:pPr>
      <w:outlineLvl w:val="1"/>
    </w:pPr>
  </w:style>
  <w:style w:type="paragraph" w:styleId="Heading3">
    <w:name w:val="heading 3"/>
    <w:basedOn w:val="Normal"/>
    <w:next w:val="Normal"/>
    <w:link w:val="Heading3Char"/>
    <w:rsid w:val="00455870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55870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55870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55870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55870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55870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558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455870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45587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455870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455870"/>
    <w:rPr>
      <w:rFonts w:ascii="Times New Roma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455870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55870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55870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55870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55870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55870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455870"/>
    <w:pPr>
      <w:tabs>
        <w:tab w:val="left" w:pos="1701"/>
        <w:tab w:val="left" w:pos="2268"/>
      </w:tabs>
      <w:spacing w:after="120" w:line="240" w:lineRule="atLeast"/>
      <w:ind w:left="1134" w:right="1134"/>
      <w:jc w:val="both"/>
    </w:pPr>
  </w:style>
  <w:style w:type="paragraph" w:customStyle="1" w:styleId="SLG">
    <w:name w:val="__S_L_G"/>
    <w:basedOn w:val="Normal"/>
    <w:next w:val="Normal"/>
    <w:rsid w:val="00455870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5587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55870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5587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55870"/>
    <w:pPr>
      <w:numPr>
        <w:numId w:val="7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55870"/>
    <w:pPr>
      <w:numPr>
        <w:numId w:val="8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455870"/>
    <w:pPr>
      <w:numPr>
        <w:numId w:val="9"/>
      </w:numPr>
    </w:pPr>
  </w:style>
  <w:style w:type="numbering" w:styleId="111111">
    <w:name w:val="Outline List 2"/>
    <w:basedOn w:val="NoList"/>
    <w:semiHidden/>
    <w:rsid w:val="00455870"/>
    <w:pPr>
      <w:numPr>
        <w:numId w:val="5"/>
      </w:numPr>
    </w:pPr>
  </w:style>
  <w:style w:type="numbering" w:styleId="1ai">
    <w:name w:val="Outline List 1"/>
    <w:basedOn w:val="NoList"/>
    <w:semiHidden/>
    <w:rsid w:val="00455870"/>
    <w:pPr>
      <w:numPr>
        <w:numId w:val="6"/>
      </w:numPr>
    </w:pPr>
  </w:style>
  <w:style w:type="character" w:styleId="EndnoteReference">
    <w:name w:val="endnote reference"/>
    <w:aliases w:val="1_G"/>
    <w:rsid w:val="00455870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455870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55870"/>
    <w:rPr>
      <w:rFonts w:ascii="Times New Roma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455870"/>
  </w:style>
  <w:style w:type="character" w:customStyle="1" w:styleId="EndnoteTextChar">
    <w:name w:val="Endnote Text Char"/>
    <w:aliases w:val="2_G Char"/>
    <w:basedOn w:val="DefaultParagraphFont"/>
    <w:link w:val="EndnoteText"/>
    <w:rsid w:val="00455870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455870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5587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5587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rsid w:val="00455870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55870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rsid w:val="00F36E7C"/>
    <w:rPr>
      <w:rFonts w:ascii="Times New Roman" w:hAnsi="Times New Roman" w:cs="Times New Roman"/>
      <w:b/>
      <w:sz w:val="28"/>
      <w:szCs w:val="20"/>
    </w:rPr>
  </w:style>
  <w:style w:type="character" w:customStyle="1" w:styleId="SingleTxtGChar">
    <w:name w:val="_ Single Txt_G Char"/>
    <w:link w:val="SingleTxtG"/>
    <w:qFormat/>
    <w:rsid w:val="00F36E7C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36E7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6E7C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45587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45587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E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E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lang w:val="en-US" w:bidi="ne-NP"/>
    </w:rPr>
  </w:style>
  <w:style w:type="paragraph" w:customStyle="1" w:styleId="Default">
    <w:name w:val="Default"/>
    <w:rsid w:val="00F36E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3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E7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36E7C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hcr.org/refugee-statistics/" TargetMode="External"/><Relationship Id="rId18" Type="http://schemas.openxmlformats.org/officeDocument/2006/relationships/hyperlink" Target="https://undocs.org/en/A/HRC/43/53/Add.1" TargetMode="External"/><Relationship Id="rId26" Type="http://schemas.openxmlformats.org/officeDocument/2006/relationships/hyperlink" Target="https://undocs.org/en/A/HRC/40/53" TargetMode="External"/><Relationship Id="rId39" Type="http://schemas.openxmlformats.org/officeDocument/2006/relationships/hyperlink" Target="https://undocs.org/en/A/75/207" TargetMode="External"/><Relationship Id="rId3" Type="http://schemas.openxmlformats.org/officeDocument/2006/relationships/hyperlink" Target="https://www.ohchr.org/en/issues/hrandclimatechange/pages/hrclimatechangeindex.aspx" TargetMode="External"/><Relationship Id="rId21" Type="http://schemas.openxmlformats.org/officeDocument/2006/relationships/hyperlink" Target="https://undocs.org/en/A/64/255" TargetMode="External"/><Relationship Id="rId34" Type="http://schemas.openxmlformats.org/officeDocument/2006/relationships/hyperlink" Target="https://undocs.org/en/A/HRC/42/38%20" TargetMode="External"/><Relationship Id="rId42" Type="http://schemas.openxmlformats.org/officeDocument/2006/relationships/hyperlink" Target="https://undocs.org/en/A/71/254" TargetMode="External"/><Relationship Id="rId47" Type="http://schemas.openxmlformats.org/officeDocument/2006/relationships/hyperlink" Target="https://undocs.org/en/A/HRC/42/43" TargetMode="External"/><Relationship Id="rId50" Type="http://schemas.openxmlformats.org/officeDocument/2006/relationships/hyperlink" Target="https://undocs.org/en/A/71/305" TargetMode="External"/><Relationship Id="rId7" Type="http://schemas.openxmlformats.org/officeDocument/2006/relationships/hyperlink" Target="https://www.ohchr.org/Documents/HRBodies/SP/List_SP_Reports_Climate_Change.pdf" TargetMode="External"/><Relationship Id="rId12" Type="http://schemas.openxmlformats.org/officeDocument/2006/relationships/hyperlink" Target="https://undocs.org/en/FCCC/PA/CMA/2021/10/Add.1" TargetMode="External"/><Relationship Id="rId17" Type="http://schemas.openxmlformats.org/officeDocument/2006/relationships/hyperlink" Target="https://undocs.org/en/A/HRC/49/53" TargetMode="External"/><Relationship Id="rId25" Type="http://schemas.openxmlformats.org/officeDocument/2006/relationships/hyperlink" Target="https://undocs.org/en/A/70/287" TargetMode="External"/><Relationship Id="rId33" Type="http://schemas.openxmlformats.org/officeDocument/2006/relationships/hyperlink" Target="https://undocs.org/en/A/76/222" TargetMode="External"/><Relationship Id="rId38" Type="http://schemas.openxmlformats.org/officeDocument/2006/relationships/hyperlink" Target="https://undocs.org/en/A/66/285%20" TargetMode="External"/><Relationship Id="rId46" Type="http://schemas.openxmlformats.org/officeDocument/2006/relationships/hyperlink" Target="https://undocs.org/en/A/71/314" TargetMode="External"/><Relationship Id="rId2" Type="http://schemas.openxmlformats.org/officeDocument/2006/relationships/hyperlink" Target="http://undocs.org/en/A/HRC/AC/27/2" TargetMode="External"/><Relationship Id="rId16" Type="http://schemas.openxmlformats.org/officeDocument/2006/relationships/hyperlink" Target="https://undocs.org/en/A/74/161%20" TargetMode="External"/><Relationship Id="rId20" Type="http://schemas.openxmlformats.org/officeDocument/2006/relationships/hyperlink" Target="https://undocs.org/en/A/HRC/49/53/Add.1" TargetMode="External"/><Relationship Id="rId29" Type="http://schemas.openxmlformats.org/officeDocument/2006/relationships/hyperlink" Target="https://undocs.org/en/A/HRC/46/34/Add.1" TargetMode="External"/><Relationship Id="rId41" Type="http://schemas.openxmlformats.org/officeDocument/2006/relationships/hyperlink" Target="https://undocs.org/en/A/HRC/48/78" TargetMode="External"/><Relationship Id="rId1" Type="http://schemas.openxmlformats.org/officeDocument/2006/relationships/hyperlink" Target="http://undocs.org/en/A/HRC/10/61" TargetMode="External"/><Relationship Id="rId6" Type="http://schemas.openxmlformats.org/officeDocument/2006/relationships/hyperlink" Target="https://www.ohchr.org/en/climate-change/human-rights-mechanisms-addressing-climate-change" TargetMode="External"/><Relationship Id="rId11" Type="http://schemas.openxmlformats.org/officeDocument/2006/relationships/hyperlink" Target="https://www.ohchr.org/en/calls-for-input/calls-input/call-input-promotion-and-protection-human-rights-context-mitigation" TargetMode="External"/><Relationship Id="rId24" Type="http://schemas.openxmlformats.org/officeDocument/2006/relationships/hyperlink" Target="https://undocs.org/en/A/74/164" TargetMode="External"/><Relationship Id="rId32" Type="http://schemas.openxmlformats.org/officeDocument/2006/relationships/hyperlink" Target="https://undocs.org/en/A/HRC/48/56" TargetMode="External"/><Relationship Id="rId37" Type="http://schemas.openxmlformats.org/officeDocument/2006/relationships/hyperlink" Target="https://undocs.org/en/A/64/214" TargetMode="External"/><Relationship Id="rId40" Type="http://schemas.openxmlformats.org/officeDocument/2006/relationships/hyperlink" Target="https://undocs.org/en/A/67/299" TargetMode="External"/><Relationship Id="rId45" Type="http://schemas.openxmlformats.org/officeDocument/2006/relationships/hyperlink" Target="https://undocs.org/en/A/HRC/37/58" TargetMode="External"/><Relationship Id="rId53" Type="http://schemas.openxmlformats.org/officeDocument/2006/relationships/hyperlink" Target="https://undocs.org/en/A/71/280" TargetMode="External"/><Relationship Id="rId5" Type="http://schemas.openxmlformats.org/officeDocument/2006/relationships/hyperlink" Target="https://www.ohchr.org/en/calls-for-input/calls-input/impact-new-technologies-climate-protection-enjoyment-human-rights" TargetMode="External"/><Relationship Id="rId15" Type="http://schemas.openxmlformats.org/officeDocument/2006/relationships/hyperlink" Target="http://climate-laws.org" TargetMode="External"/><Relationship Id="rId23" Type="http://schemas.openxmlformats.org/officeDocument/2006/relationships/hyperlink" Target="https://www.ohchr.org/en/calls-for-input/calls-input/call-input-right-adequate-housing-and-climate-change" TargetMode="External"/><Relationship Id="rId28" Type="http://schemas.openxmlformats.org/officeDocument/2006/relationships/hyperlink" Target="https://undocs.org/en/A/HRC/43/50/Add.2%20" TargetMode="External"/><Relationship Id="rId36" Type="http://schemas.openxmlformats.org/officeDocument/2006/relationships/hyperlink" Target="https://undocs.org/en/A/HRC/42/44" TargetMode="External"/><Relationship Id="rId49" Type="http://schemas.openxmlformats.org/officeDocument/2006/relationships/hyperlink" Target="https://undocs.org/en/A/71/281" TargetMode="External"/><Relationship Id="rId10" Type="http://schemas.openxmlformats.org/officeDocument/2006/relationships/hyperlink" Target="https://undocs.org/en/FCCC/PA/CMA/2021/10/Add.1" TargetMode="External"/><Relationship Id="rId19" Type="http://schemas.openxmlformats.org/officeDocument/2006/relationships/hyperlink" Target="https://undocs.org/en/A/HRC/43/53/Add.2" TargetMode="External"/><Relationship Id="rId31" Type="http://schemas.openxmlformats.org/officeDocument/2006/relationships/hyperlink" Target="https://undocs.org/en/A/74/174" TargetMode="External"/><Relationship Id="rId44" Type="http://schemas.openxmlformats.org/officeDocument/2006/relationships/hyperlink" Target="https://undocs.org/en/A/73/176" TargetMode="External"/><Relationship Id="rId52" Type="http://schemas.openxmlformats.org/officeDocument/2006/relationships/hyperlink" Target="http://undocs.org/en/A/HRC/44/44" TargetMode="External"/><Relationship Id="rId4" Type="http://schemas.openxmlformats.org/officeDocument/2006/relationships/hyperlink" Target="https://undocs.org/en/A/HRC/AC/26/2" TargetMode="External"/><Relationship Id="rId9" Type="http://schemas.openxmlformats.org/officeDocument/2006/relationships/hyperlink" Target="http://undocs.org/en/FCCC/CP/2021/12/Add.1" TargetMode="External"/><Relationship Id="rId14" Type="http://schemas.openxmlformats.org/officeDocument/2006/relationships/hyperlink" Target="http://undocs.org/en/CCPR/C/127/D/2728/2016" TargetMode="External"/><Relationship Id="rId22" Type="http://schemas.openxmlformats.org/officeDocument/2006/relationships/hyperlink" Target="https://undocs.org/en/A/HRC/47/43" TargetMode="External"/><Relationship Id="rId27" Type="http://schemas.openxmlformats.org/officeDocument/2006/relationships/hyperlink" Target="https://undocs.org/en/A/75/298" TargetMode="External"/><Relationship Id="rId30" Type="http://schemas.openxmlformats.org/officeDocument/2006/relationships/hyperlink" Target="https://undocs.org/en/A/71/304" TargetMode="External"/><Relationship Id="rId35" Type="http://schemas.openxmlformats.org/officeDocument/2006/relationships/hyperlink" Target="https://undocs.org/en/A/74/349" TargetMode="External"/><Relationship Id="rId43" Type="http://schemas.openxmlformats.org/officeDocument/2006/relationships/hyperlink" Target="https://undocs.org/en/A/HRC/36/46" TargetMode="External"/><Relationship Id="rId48" Type="http://schemas.openxmlformats.org/officeDocument/2006/relationships/hyperlink" Target="https://undocs.org/en/A/HRC/41/39" TargetMode="External"/><Relationship Id="rId8" Type="http://schemas.openxmlformats.org/officeDocument/2006/relationships/hyperlink" Target="https://www.ipcc.ch/report/sixth-assessment-report-working-group-3/" TargetMode="External"/><Relationship Id="rId51" Type="http://schemas.openxmlformats.org/officeDocument/2006/relationships/hyperlink" Target="https://undocs.org/en/A/HRC/31/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2985A989-7089-48AF-8CCA-225D56E86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DA725-82EF-4CD8-8FB7-26737558677A}"/>
</file>

<file path=customXml/itemProps3.xml><?xml version="1.0" encoding="utf-8"?>
<ds:datastoreItem xmlns:ds="http://schemas.openxmlformats.org/officeDocument/2006/customXml" ds:itemID="{195B7C9B-D4D3-4518-898C-FA6D642F4CD8}"/>
</file>

<file path=customXml/itemProps4.xml><?xml version="1.0" encoding="utf-8"?>
<ds:datastoreItem xmlns:ds="http://schemas.openxmlformats.org/officeDocument/2006/customXml" ds:itemID="{441B74C3-C525-4DF0-A12D-06B5BBA67037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17</Pages>
  <Words>8006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A/HRC/50/39</vt:lpstr>
    </vt:vector>
  </TitlesOfParts>
  <Company>DCM</Company>
  <LinksUpToDate>false</LinksUpToDate>
  <CharactersWithSpaces>53539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A/HRC/50/39</dc:title>
  <dc:subject>2207171</dc:subject>
  <dc:creator>pae</dc:creator>
  <cp:keywords/>
  <dc:description/>
  <cp:lastModifiedBy>Veronique Lanz</cp:lastModifiedBy>
  <cp:revision>2</cp:revision>
  <dcterms:created xsi:type="dcterms:W3CDTF">2022-07-28T09:44:00Z</dcterms:created>
  <dcterms:modified xsi:type="dcterms:W3CDTF">2022-07-28T09:44:00Z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