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02FBB" w14:textId="776B761F" w:rsidR="00EF66FA" w:rsidRPr="00520B8F" w:rsidRDefault="00EF66FA" w:rsidP="0071303C">
      <w:pPr>
        <w:ind w:left="720"/>
        <w:jc w:val="right"/>
        <w:outlineLvl w:val="0"/>
        <w:rPr>
          <w:rFonts w:ascii="Times New Roman" w:eastAsia="Times New Roman" w:hAnsi="Times New Roman" w:cs="Times New Roman"/>
        </w:rPr>
      </w:pPr>
      <w:r w:rsidRPr="00520B8F">
        <w:rPr>
          <w:rFonts w:ascii="Times New Roman" w:eastAsia="Times New Roman" w:hAnsi="Times New Roman" w:cs="Times New Roman"/>
        </w:rPr>
        <w:t>DGI Directorate General of Human Rights and Rule of Law</w:t>
      </w:r>
    </w:p>
    <w:p w14:paraId="3523FA91" w14:textId="709F7F7D" w:rsidR="00EF66FA" w:rsidRPr="00520B8F" w:rsidRDefault="00EF66FA" w:rsidP="0071303C">
      <w:pPr>
        <w:ind w:left="720"/>
        <w:jc w:val="right"/>
        <w:rPr>
          <w:rFonts w:ascii="Times New Roman" w:eastAsia="Times New Roman" w:hAnsi="Times New Roman" w:cs="Times New Roman"/>
        </w:rPr>
      </w:pPr>
      <w:r w:rsidRPr="00520B8F">
        <w:rPr>
          <w:rFonts w:ascii="Times New Roman" w:eastAsia="Times New Roman" w:hAnsi="Times New Roman" w:cs="Times New Roman"/>
        </w:rPr>
        <w:t xml:space="preserve">Department for the Execution of Judgments of the </w:t>
      </w:r>
      <w:proofErr w:type="spellStart"/>
      <w:r w:rsidRPr="00520B8F">
        <w:rPr>
          <w:rFonts w:ascii="Times New Roman" w:eastAsia="Times New Roman" w:hAnsi="Times New Roman" w:cs="Times New Roman"/>
        </w:rPr>
        <w:t>ECtHR</w:t>
      </w:r>
      <w:proofErr w:type="spellEnd"/>
    </w:p>
    <w:p w14:paraId="40505A27" w14:textId="77777777" w:rsidR="00EF66FA" w:rsidRPr="00520B8F" w:rsidRDefault="00EF66FA" w:rsidP="0071303C">
      <w:pPr>
        <w:ind w:left="720"/>
        <w:jc w:val="right"/>
        <w:rPr>
          <w:rFonts w:ascii="Times New Roman" w:eastAsia="Times New Roman" w:hAnsi="Times New Roman" w:cs="Times New Roman"/>
        </w:rPr>
      </w:pPr>
      <w:r w:rsidRPr="00520B8F">
        <w:rPr>
          <w:rFonts w:ascii="Times New Roman" w:eastAsia="Times New Roman" w:hAnsi="Times New Roman" w:cs="Times New Roman"/>
        </w:rPr>
        <w:t xml:space="preserve">F-67075 Strasbourg </w:t>
      </w:r>
      <w:proofErr w:type="spellStart"/>
      <w:r w:rsidRPr="00520B8F">
        <w:rPr>
          <w:rFonts w:ascii="Times New Roman" w:eastAsia="Times New Roman" w:hAnsi="Times New Roman" w:cs="Times New Roman"/>
        </w:rPr>
        <w:t>Cedex</w:t>
      </w:r>
      <w:proofErr w:type="spellEnd"/>
      <w:r w:rsidRPr="00520B8F">
        <w:rPr>
          <w:rFonts w:ascii="Times New Roman" w:eastAsia="Times New Roman" w:hAnsi="Times New Roman" w:cs="Times New Roman"/>
        </w:rPr>
        <w:t xml:space="preserve"> FRANCE</w:t>
      </w:r>
    </w:p>
    <w:p w14:paraId="659F5CF6" w14:textId="77777777" w:rsidR="00EF66FA" w:rsidRPr="00520B8F" w:rsidRDefault="00EF66FA" w:rsidP="0071303C">
      <w:pPr>
        <w:ind w:left="720"/>
        <w:jc w:val="right"/>
        <w:outlineLvl w:val="0"/>
        <w:rPr>
          <w:rStyle w:val="Kpr"/>
          <w:rFonts w:ascii="Times New Roman" w:eastAsia="Times New Roman" w:hAnsi="Times New Roman" w:cs="Times New Roman"/>
          <w:color w:val="auto"/>
        </w:rPr>
      </w:pPr>
      <w:r w:rsidRPr="00520B8F">
        <w:rPr>
          <w:rFonts w:ascii="Times New Roman" w:eastAsia="Times New Roman" w:hAnsi="Times New Roman" w:cs="Times New Roman"/>
        </w:rPr>
        <w:t xml:space="preserve">Email: </w:t>
      </w:r>
      <w:hyperlink r:id="rId12" w:history="1">
        <w:r w:rsidRPr="00520B8F">
          <w:rPr>
            <w:rStyle w:val="Kpr"/>
            <w:rFonts w:ascii="Times New Roman" w:eastAsia="Times New Roman" w:hAnsi="Times New Roman" w:cs="Times New Roman"/>
            <w:color w:val="auto"/>
          </w:rPr>
          <w:t>DGI-Execution@coe.int</w:t>
        </w:r>
      </w:hyperlink>
    </w:p>
    <w:p w14:paraId="2DBE3E8E" w14:textId="77777777" w:rsidR="00EF66FA" w:rsidRPr="00520B8F" w:rsidRDefault="00EF66FA" w:rsidP="0071303C">
      <w:pPr>
        <w:ind w:left="720"/>
        <w:jc w:val="right"/>
        <w:rPr>
          <w:rFonts w:ascii="Times New Roman" w:eastAsia="Times New Roman" w:hAnsi="Times New Roman" w:cs="Times New Roman"/>
        </w:rPr>
      </w:pPr>
    </w:p>
    <w:p w14:paraId="7672AAB8" w14:textId="2B930429" w:rsidR="00EF66FA" w:rsidRPr="00520B8F" w:rsidRDefault="00030292" w:rsidP="0071303C">
      <w:pPr>
        <w:ind w:left="720"/>
        <w:jc w:val="right"/>
        <w:rPr>
          <w:rFonts w:ascii="Times New Roman" w:eastAsia="Times New Roman" w:hAnsi="Times New Roman" w:cs="Times New Roman"/>
        </w:rPr>
      </w:pPr>
      <w:r>
        <w:rPr>
          <w:rFonts w:ascii="Times New Roman" w:eastAsia="Times New Roman" w:hAnsi="Times New Roman" w:cs="Times New Roman"/>
        </w:rPr>
        <w:t>29</w:t>
      </w:r>
      <w:bookmarkStart w:id="0" w:name="_GoBack"/>
      <w:bookmarkEnd w:id="0"/>
      <w:r w:rsidR="00EF66FA" w:rsidRPr="00520B8F">
        <w:rPr>
          <w:rFonts w:ascii="Times New Roman" w:eastAsia="Times New Roman" w:hAnsi="Times New Roman" w:cs="Times New Roman"/>
        </w:rPr>
        <w:t>.11.2021</w:t>
      </w:r>
    </w:p>
    <w:p w14:paraId="280C4C95" w14:textId="77777777" w:rsidR="00EF66FA" w:rsidRPr="00520B8F" w:rsidRDefault="00EF66FA" w:rsidP="0071303C">
      <w:pPr>
        <w:ind w:left="720"/>
        <w:jc w:val="center"/>
        <w:rPr>
          <w:rFonts w:ascii="Times New Roman" w:hAnsi="Times New Roman" w:cs="Times New Roman"/>
          <w:b/>
          <w:bCs/>
        </w:rPr>
      </w:pPr>
    </w:p>
    <w:p w14:paraId="7AE2ADCB" w14:textId="77777777" w:rsidR="00EF66FA" w:rsidRPr="00520B8F" w:rsidRDefault="00EF66FA" w:rsidP="0071303C">
      <w:pPr>
        <w:jc w:val="center"/>
        <w:outlineLvl w:val="0"/>
        <w:rPr>
          <w:rFonts w:ascii="Times New Roman" w:eastAsia="Times New Roman" w:hAnsi="Times New Roman" w:cs="Times New Roman"/>
        </w:rPr>
      </w:pPr>
      <w:r w:rsidRPr="00520B8F">
        <w:rPr>
          <w:rFonts w:ascii="Times New Roman" w:eastAsia="Times New Roman" w:hAnsi="Times New Roman" w:cs="Times New Roman"/>
        </w:rPr>
        <w:t>COMMUNICATION</w:t>
      </w:r>
    </w:p>
    <w:p w14:paraId="65323164" w14:textId="77777777" w:rsidR="00EF66FA" w:rsidRPr="00520B8F" w:rsidRDefault="00EF66FA" w:rsidP="0071303C">
      <w:pPr>
        <w:jc w:val="center"/>
        <w:rPr>
          <w:rFonts w:ascii="Times New Roman" w:eastAsia="Times New Roman" w:hAnsi="Times New Roman" w:cs="Times New Roman"/>
        </w:rPr>
      </w:pPr>
    </w:p>
    <w:p w14:paraId="519DB1DA" w14:textId="77777777" w:rsidR="00EF66FA" w:rsidRPr="00520B8F" w:rsidRDefault="00EF66FA" w:rsidP="0071303C">
      <w:pPr>
        <w:jc w:val="center"/>
        <w:rPr>
          <w:rFonts w:ascii="Times New Roman" w:eastAsia="Times New Roman" w:hAnsi="Times New Roman" w:cs="Times New Roman"/>
        </w:rPr>
      </w:pPr>
      <w:proofErr w:type="gramStart"/>
      <w:r w:rsidRPr="00520B8F">
        <w:rPr>
          <w:rFonts w:ascii="Times New Roman" w:eastAsia="Times New Roman" w:hAnsi="Times New Roman" w:cs="Times New Roman"/>
        </w:rPr>
        <w:t>In accordance with Rule 9.2.</w:t>
      </w:r>
      <w:proofErr w:type="gramEnd"/>
      <w:r w:rsidRPr="00520B8F">
        <w:rPr>
          <w:rFonts w:ascii="Times New Roman" w:eastAsia="Times New Roman" w:hAnsi="Times New Roman" w:cs="Times New Roman"/>
        </w:rPr>
        <w:t xml:space="preserve"> </w:t>
      </w:r>
      <w:proofErr w:type="gramStart"/>
      <w:r w:rsidRPr="00520B8F">
        <w:rPr>
          <w:rFonts w:ascii="Times New Roman" w:eastAsia="Times New Roman" w:hAnsi="Times New Roman" w:cs="Times New Roman"/>
        </w:rPr>
        <w:t>of</w:t>
      </w:r>
      <w:proofErr w:type="gramEnd"/>
      <w:r w:rsidRPr="00520B8F">
        <w:rPr>
          <w:rFonts w:ascii="Times New Roman" w:eastAsia="Times New Roman" w:hAnsi="Times New Roman" w:cs="Times New Roman"/>
        </w:rPr>
        <w:t xml:space="preserve"> the Rules of the Committee of Ministers regarding the supervision of the execution of judgments and of terms of friendly settlements by</w:t>
      </w:r>
      <w:r w:rsidRPr="00520B8F">
        <w:rPr>
          <w:rFonts w:ascii="Times New Roman" w:hAnsi="Times New Roman" w:cs="Times New Roman"/>
          <w:b/>
          <w:bCs/>
        </w:rPr>
        <w:t xml:space="preserve"> </w:t>
      </w:r>
      <w:r w:rsidRPr="00520B8F">
        <w:rPr>
          <w:rFonts w:ascii="Times New Roman" w:eastAsia="Times New Roman" w:hAnsi="Times New Roman" w:cs="Times New Roman"/>
        </w:rPr>
        <w:t>Life Memory Freedom Association</w:t>
      </w:r>
    </w:p>
    <w:p w14:paraId="29BCE0F2" w14:textId="77777777" w:rsidR="00EF66FA" w:rsidRPr="00520B8F" w:rsidRDefault="00EF66FA" w:rsidP="0071303C">
      <w:pPr>
        <w:jc w:val="center"/>
        <w:rPr>
          <w:rFonts w:ascii="Times New Roman" w:eastAsia="Times New Roman" w:hAnsi="Times New Roman" w:cs="Times New Roman"/>
        </w:rPr>
      </w:pPr>
    </w:p>
    <w:p w14:paraId="4E0E7B34" w14:textId="1261BBBA" w:rsidR="00EF66FA" w:rsidRPr="00520B8F" w:rsidRDefault="00EF66FA" w:rsidP="0071303C">
      <w:pPr>
        <w:jc w:val="center"/>
        <w:rPr>
          <w:rFonts w:ascii="Times New Roman" w:hAnsi="Times New Roman" w:cs="Times New Roman"/>
          <w:b/>
          <w:bCs/>
        </w:rPr>
      </w:pPr>
      <w:proofErr w:type="gramStart"/>
      <w:r w:rsidRPr="00520B8F">
        <w:rPr>
          <w:rFonts w:ascii="Times New Roman" w:hAnsi="Times New Roman" w:cs="Times New Roman"/>
          <w:b/>
          <w:bCs/>
        </w:rPr>
        <w:t>in</w:t>
      </w:r>
      <w:proofErr w:type="gramEnd"/>
      <w:r w:rsidRPr="00520B8F">
        <w:rPr>
          <w:rFonts w:ascii="Times New Roman" w:hAnsi="Times New Roman" w:cs="Times New Roman"/>
          <w:b/>
          <w:bCs/>
        </w:rPr>
        <w:t xml:space="preserve"> </w:t>
      </w:r>
      <w:proofErr w:type="spellStart"/>
      <w:r w:rsidRPr="00520B8F">
        <w:rPr>
          <w:rFonts w:ascii="Times New Roman" w:hAnsi="Times New Roman" w:cs="Times New Roman"/>
          <w:b/>
          <w:bCs/>
        </w:rPr>
        <w:t>Oyal</w:t>
      </w:r>
      <w:proofErr w:type="spellEnd"/>
      <w:r w:rsidRPr="00520B8F">
        <w:rPr>
          <w:rFonts w:ascii="Times New Roman" w:hAnsi="Times New Roman" w:cs="Times New Roman"/>
          <w:b/>
          <w:bCs/>
        </w:rPr>
        <w:t xml:space="preserve"> v. Turkey</w:t>
      </w:r>
    </w:p>
    <w:p w14:paraId="1C996B2F" w14:textId="77777777" w:rsidR="00EF66FA" w:rsidRPr="00520B8F" w:rsidRDefault="00EF66FA" w:rsidP="0071303C">
      <w:pPr>
        <w:jc w:val="center"/>
        <w:rPr>
          <w:rFonts w:ascii="Times New Roman" w:hAnsi="Times New Roman" w:cs="Times New Roman"/>
          <w:b/>
          <w:bCs/>
        </w:rPr>
      </w:pPr>
      <w:r w:rsidRPr="00520B8F">
        <w:rPr>
          <w:rFonts w:ascii="Times New Roman" w:hAnsi="Times New Roman" w:cs="Times New Roman"/>
          <w:b/>
          <w:bCs/>
        </w:rPr>
        <w:t>(Application no. 4864/05) and</w:t>
      </w:r>
    </w:p>
    <w:p w14:paraId="44B1B620" w14:textId="77777777" w:rsidR="00EF66FA" w:rsidRPr="00520B8F" w:rsidRDefault="00EF66FA" w:rsidP="0071303C">
      <w:pPr>
        <w:jc w:val="center"/>
        <w:rPr>
          <w:rFonts w:ascii="Times New Roman" w:hAnsi="Times New Roman" w:cs="Times New Roman"/>
          <w:b/>
          <w:bCs/>
        </w:rPr>
      </w:pPr>
      <w:r w:rsidRPr="00520B8F">
        <w:rPr>
          <w:rFonts w:ascii="Times New Roman" w:hAnsi="Times New Roman" w:cs="Times New Roman"/>
          <w:b/>
          <w:bCs/>
        </w:rPr>
        <w:t>10 Repetitive Cases</w:t>
      </w:r>
    </w:p>
    <w:p w14:paraId="70A4D179" w14:textId="77777777" w:rsidR="00EF66FA" w:rsidRPr="00520B8F" w:rsidRDefault="00EF66FA" w:rsidP="009124AD">
      <w:pPr>
        <w:jc w:val="both"/>
        <w:rPr>
          <w:rFonts w:ascii="Times New Roman" w:hAnsi="Times New Roman" w:cs="Times New Roman"/>
          <w:b/>
          <w:bCs/>
        </w:rPr>
      </w:pPr>
    </w:p>
    <w:p w14:paraId="7E0505B7" w14:textId="77777777" w:rsidR="00EF66FA" w:rsidRPr="00520B8F" w:rsidRDefault="00EF66FA" w:rsidP="009124AD">
      <w:pPr>
        <w:ind w:firstLine="720"/>
        <w:jc w:val="both"/>
        <w:outlineLvl w:val="0"/>
        <w:rPr>
          <w:rFonts w:ascii="Times New Roman" w:hAnsi="Times New Roman" w:cs="Times New Roman"/>
          <w:b/>
        </w:rPr>
      </w:pPr>
      <w:r w:rsidRPr="00520B8F">
        <w:rPr>
          <w:rFonts w:ascii="Times New Roman" w:hAnsi="Times New Roman" w:cs="Times New Roman"/>
          <w:b/>
        </w:rPr>
        <w:t>Introduction</w:t>
      </w:r>
    </w:p>
    <w:p w14:paraId="21B939F0" w14:textId="77777777" w:rsidR="00EF66FA" w:rsidRPr="00520B8F" w:rsidRDefault="00EF66FA" w:rsidP="009124AD">
      <w:pPr>
        <w:jc w:val="both"/>
        <w:rPr>
          <w:rFonts w:ascii="Times New Roman" w:hAnsi="Times New Roman" w:cs="Times New Roman"/>
        </w:rPr>
      </w:pPr>
    </w:p>
    <w:p w14:paraId="59F07AC9"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 xml:space="preserve">1. The present Rule 9.2 submission concerns general measures and updated information  concerning the following cases: </w:t>
      </w:r>
      <w:proofErr w:type="spellStart"/>
      <w:r w:rsidRPr="00520B8F">
        <w:rPr>
          <w:rFonts w:ascii="Times New Roman" w:hAnsi="Times New Roman" w:cs="Times New Roman"/>
          <w:bCs/>
        </w:rPr>
        <w:t>Oyal</w:t>
      </w:r>
      <w:proofErr w:type="spellEnd"/>
      <w:r w:rsidRPr="00520B8F">
        <w:rPr>
          <w:rFonts w:ascii="Times New Roman" w:hAnsi="Times New Roman" w:cs="Times New Roman"/>
          <w:bCs/>
        </w:rPr>
        <w:t xml:space="preserve"> v. Turkey (Application no. 4864/05), Mehmet </w:t>
      </w:r>
      <w:proofErr w:type="spellStart"/>
      <w:r w:rsidRPr="00520B8F">
        <w:rPr>
          <w:rFonts w:ascii="Times New Roman" w:hAnsi="Times New Roman" w:cs="Times New Roman"/>
          <w:bCs/>
        </w:rPr>
        <w:t>Ulusoy</w:t>
      </w:r>
      <w:proofErr w:type="spellEnd"/>
      <w:r w:rsidRPr="00520B8F">
        <w:rPr>
          <w:rFonts w:ascii="Times New Roman" w:hAnsi="Times New Roman" w:cs="Times New Roman"/>
          <w:bCs/>
        </w:rPr>
        <w:t xml:space="preserve"> v. Turkey (Application no. 54969/09), </w:t>
      </w:r>
      <w:proofErr w:type="spellStart"/>
      <w:r w:rsidRPr="00520B8F">
        <w:rPr>
          <w:rFonts w:ascii="Times New Roman" w:hAnsi="Times New Roman" w:cs="Times New Roman"/>
          <w:bCs/>
        </w:rPr>
        <w:t>Oney</w:t>
      </w:r>
      <w:proofErr w:type="spellEnd"/>
      <w:r w:rsidRPr="00520B8F">
        <w:rPr>
          <w:rFonts w:ascii="Times New Roman" w:hAnsi="Times New Roman" w:cs="Times New Roman"/>
          <w:bCs/>
        </w:rPr>
        <w:t xml:space="preserve"> v. Turkey (Application no.</w:t>
      </w:r>
      <w:r w:rsidRPr="00520B8F">
        <w:rPr>
          <w:rFonts w:ascii="Times New Roman" w:hAnsi="Times New Roman" w:cs="Times New Roman"/>
        </w:rPr>
        <w:t xml:space="preserve"> </w:t>
      </w:r>
      <w:r w:rsidRPr="00520B8F">
        <w:rPr>
          <w:rFonts w:ascii="Times New Roman" w:hAnsi="Times New Roman" w:cs="Times New Roman"/>
          <w:bCs/>
        </w:rPr>
        <w:t xml:space="preserve">49092/12), </w:t>
      </w:r>
      <w:proofErr w:type="spellStart"/>
      <w:r w:rsidRPr="00520B8F">
        <w:rPr>
          <w:rFonts w:ascii="Times New Roman" w:hAnsi="Times New Roman" w:cs="Times New Roman"/>
          <w:bCs/>
        </w:rPr>
        <w:t>Nihat</w:t>
      </w:r>
      <w:proofErr w:type="spellEnd"/>
      <w:r w:rsidRPr="00520B8F">
        <w:rPr>
          <w:rFonts w:ascii="Times New Roman" w:hAnsi="Times New Roman" w:cs="Times New Roman"/>
          <w:bCs/>
        </w:rPr>
        <w:t xml:space="preserve"> </w:t>
      </w:r>
      <w:proofErr w:type="spellStart"/>
      <w:r w:rsidRPr="00520B8F">
        <w:rPr>
          <w:rFonts w:ascii="Times New Roman" w:hAnsi="Times New Roman" w:cs="Times New Roman"/>
          <w:bCs/>
        </w:rPr>
        <w:t>Soylu</w:t>
      </w:r>
      <w:proofErr w:type="spellEnd"/>
      <w:r w:rsidRPr="00520B8F">
        <w:rPr>
          <w:rFonts w:ascii="Times New Roman" w:hAnsi="Times New Roman" w:cs="Times New Roman"/>
          <w:bCs/>
        </w:rPr>
        <w:t xml:space="preserve"> v. Turkey (Application no.</w:t>
      </w:r>
      <w:r w:rsidRPr="00520B8F">
        <w:rPr>
          <w:rFonts w:ascii="Times New Roman" w:hAnsi="Times New Roman" w:cs="Times New Roman"/>
        </w:rPr>
        <w:t xml:space="preserve"> </w:t>
      </w:r>
      <w:r w:rsidRPr="00520B8F">
        <w:rPr>
          <w:rFonts w:ascii="Times New Roman" w:hAnsi="Times New Roman" w:cs="Times New Roman"/>
          <w:bCs/>
        </w:rPr>
        <w:t xml:space="preserve">48532/11), </w:t>
      </w:r>
      <w:proofErr w:type="spellStart"/>
      <w:r w:rsidRPr="00520B8F">
        <w:rPr>
          <w:rFonts w:ascii="Times New Roman" w:hAnsi="Times New Roman" w:cs="Times New Roman"/>
          <w:bCs/>
        </w:rPr>
        <w:t>Tulay</w:t>
      </w:r>
      <w:proofErr w:type="spellEnd"/>
      <w:r w:rsidRPr="00520B8F">
        <w:rPr>
          <w:rFonts w:ascii="Times New Roman" w:hAnsi="Times New Roman" w:cs="Times New Roman"/>
          <w:bCs/>
        </w:rPr>
        <w:t xml:space="preserve"> </w:t>
      </w:r>
      <w:proofErr w:type="spellStart"/>
      <w:r w:rsidRPr="00520B8F">
        <w:rPr>
          <w:rFonts w:ascii="Times New Roman" w:hAnsi="Times New Roman" w:cs="Times New Roman"/>
          <w:bCs/>
        </w:rPr>
        <w:t>Yıldız</w:t>
      </w:r>
      <w:proofErr w:type="spellEnd"/>
      <w:r w:rsidRPr="00520B8F">
        <w:rPr>
          <w:rFonts w:ascii="Times New Roman" w:hAnsi="Times New Roman" w:cs="Times New Roman"/>
          <w:bCs/>
        </w:rPr>
        <w:t xml:space="preserve"> v. Turkey (Application no.</w:t>
      </w:r>
      <w:r w:rsidRPr="00520B8F">
        <w:rPr>
          <w:rFonts w:ascii="Times New Roman" w:hAnsi="Times New Roman" w:cs="Times New Roman"/>
        </w:rPr>
        <w:t xml:space="preserve"> </w:t>
      </w:r>
      <w:r w:rsidRPr="00520B8F">
        <w:rPr>
          <w:rFonts w:ascii="Times New Roman" w:hAnsi="Times New Roman" w:cs="Times New Roman"/>
          <w:bCs/>
        </w:rPr>
        <w:t xml:space="preserve">61772/12), </w:t>
      </w:r>
      <w:proofErr w:type="spellStart"/>
      <w:r w:rsidRPr="00520B8F">
        <w:rPr>
          <w:rFonts w:ascii="Times New Roman" w:hAnsi="Times New Roman" w:cs="Times New Roman"/>
          <w:bCs/>
        </w:rPr>
        <w:t>Erkan</w:t>
      </w:r>
      <w:proofErr w:type="spellEnd"/>
      <w:r w:rsidRPr="00520B8F">
        <w:rPr>
          <w:rFonts w:ascii="Times New Roman" w:hAnsi="Times New Roman" w:cs="Times New Roman"/>
          <w:bCs/>
        </w:rPr>
        <w:t xml:space="preserve"> </w:t>
      </w:r>
      <w:proofErr w:type="spellStart"/>
      <w:r w:rsidRPr="00520B8F">
        <w:rPr>
          <w:rFonts w:ascii="Times New Roman" w:hAnsi="Times New Roman" w:cs="Times New Roman"/>
          <w:bCs/>
        </w:rPr>
        <w:t>Birol</w:t>
      </w:r>
      <w:proofErr w:type="spellEnd"/>
      <w:r w:rsidRPr="00520B8F">
        <w:rPr>
          <w:rFonts w:ascii="Times New Roman" w:hAnsi="Times New Roman" w:cs="Times New Roman"/>
          <w:bCs/>
        </w:rPr>
        <w:t xml:space="preserve"> Kaya v. Turkey (Application no.</w:t>
      </w:r>
      <w:r w:rsidRPr="00520B8F">
        <w:rPr>
          <w:rFonts w:ascii="Times New Roman" w:hAnsi="Times New Roman" w:cs="Times New Roman"/>
        </w:rPr>
        <w:t xml:space="preserve"> </w:t>
      </w:r>
      <w:r w:rsidRPr="00520B8F">
        <w:rPr>
          <w:rFonts w:ascii="Times New Roman" w:hAnsi="Times New Roman" w:cs="Times New Roman"/>
          <w:bCs/>
        </w:rPr>
        <w:t xml:space="preserve">38331/06), </w:t>
      </w:r>
      <w:proofErr w:type="spellStart"/>
      <w:r w:rsidRPr="00520B8F">
        <w:rPr>
          <w:rFonts w:ascii="Times New Roman" w:hAnsi="Times New Roman" w:cs="Times New Roman"/>
          <w:bCs/>
        </w:rPr>
        <w:t>Erdinc</w:t>
      </w:r>
      <w:proofErr w:type="spellEnd"/>
      <w:r w:rsidRPr="00520B8F">
        <w:rPr>
          <w:rFonts w:ascii="Times New Roman" w:hAnsi="Times New Roman" w:cs="Times New Roman"/>
          <w:bCs/>
        </w:rPr>
        <w:t xml:space="preserve"> Kurt and Others v. Turkey (Application no.</w:t>
      </w:r>
      <w:r w:rsidRPr="00520B8F">
        <w:rPr>
          <w:rFonts w:ascii="Times New Roman" w:hAnsi="Times New Roman" w:cs="Times New Roman"/>
        </w:rPr>
        <w:t xml:space="preserve"> </w:t>
      </w:r>
      <w:r w:rsidRPr="00520B8F">
        <w:rPr>
          <w:rFonts w:ascii="Times New Roman" w:hAnsi="Times New Roman" w:cs="Times New Roman"/>
          <w:bCs/>
        </w:rPr>
        <w:t xml:space="preserve">50772/11), </w:t>
      </w:r>
      <w:proofErr w:type="spellStart"/>
      <w:r w:rsidRPr="00520B8F">
        <w:rPr>
          <w:rFonts w:ascii="Times New Roman" w:hAnsi="Times New Roman" w:cs="Times New Roman"/>
          <w:bCs/>
        </w:rPr>
        <w:t>Asiye</w:t>
      </w:r>
      <w:proofErr w:type="spellEnd"/>
      <w:r w:rsidRPr="00520B8F">
        <w:rPr>
          <w:rFonts w:ascii="Times New Roman" w:hAnsi="Times New Roman" w:cs="Times New Roman"/>
          <w:bCs/>
        </w:rPr>
        <w:t xml:space="preserve"> </w:t>
      </w:r>
      <w:proofErr w:type="spellStart"/>
      <w:r w:rsidRPr="00520B8F">
        <w:rPr>
          <w:rFonts w:ascii="Times New Roman" w:hAnsi="Times New Roman" w:cs="Times New Roman"/>
          <w:bCs/>
        </w:rPr>
        <w:t>Genc</w:t>
      </w:r>
      <w:proofErr w:type="spellEnd"/>
      <w:r w:rsidRPr="00520B8F">
        <w:rPr>
          <w:rFonts w:ascii="Times New Roman" w:hAnsi="Times New Roman" w:cs="Times New Roman"/>
          <w:bCs/>
        </w:rPr>
        <w:t xml:space="preserve"> v. Turkey (Application no.</w:t>
      </w:r>
      <w:r w:rsidRPr="00520B8F">
        <w:rPr>
          <w:rFonts w:ascii="Times New Roman" w:hAnsi="Times New Roman" w:cs="Times New Roman"/>
        </w:rPr>
        <w:t xml:space="preserve"> </w:t>
      </w:r>
      <w:r w:rsidRPr="00520B8F">
        <w:rPr>
          <w:rFonts w:ascii="Times New Roman" w:hAnsi="Times New Roman" w:cs="Times New Roman"/>
          <w:bCs/>
        </w:rPr>
        <w:t xml:space="preserve">24109/07), </w:t>
      </w:r>
      <w:proofErr w:type="spellStart"/>
      <w:r w:rsidRPr="00520B8F">
        <w:rPr>
          <w:rFonts w:ascii="Times New Roman" w:hAnsi="Times New Roman" w:cs="Times New Roman"/>
          <w:bCs/>
        </w:rPr>
        <w:t>Akkoyunlu</w:t>
      </w:r>
      <w:proofErr w:type="spellEnd"/>
      <w:r w:rsidRPr="00520B8F">
        <w:rPr>
          <w:rFonts w:ascii="Times New Roman" w:hAnsi="Times New Roman" w:cs="Times New Roman"/>
          <w:bCs/>
        </w:rPr>
        <w:t xml:space="preserve"> v. Turkey (Application no.</w:t>
      </w:r>
      <w:r w:rsidRPr="00520B8F">
        <w:rPr>
          <w:rFonts w:ascii="Times New Roman" w:hAnsi="Times New Roman" w:cs="Times New Roman"/>
        </w:rPr>
        <w:t xml:space="preserve"> </w:t>
      </w:r>
      <w:r w:rsidRPr="00520B8F">
        <w:rPr>
          <w:rFonts w:ascii="Times New Roman" w:hAnsi="Times New Roman" w:cs="Times New Roman"/>
          <w:bCs/>
        </w:rPr>
        <w:t xml:space="preserve">7505/06), </w:t>
      </w:r>
      <w:proofErr w:type="spellStart"/>
      <w:r w:rsidRPr="00520B8F">
        <w:rPr>
          <w:rFonts w:ascii="Times New Roman" w:hAnsi="Times New Roman" w:cs="Times New Roman"/>
          <w:bCs/>
        </w:rPr>
        <w:t>Altug</w:t>
      </w:r>
      <w:proofErr w:type="spellEnd"/>
      <w:r w:rsidRPr="00520B8F">
        <w:rPr>
          <w:rFonts w:ascii="Times New Roman" w:hAnsi="Times New Roman" w:cs="Times New Roman"/>
          <w:bCs/>
        </w:rPr>
        <w:t xml:space="preserve"> and Others v. Turkey (Application no.</w:t>
      </w:r>
      <w:r w:rsidRPr="00520B8F">
        <w:rPr>
          <w:rFonts w:ascii="Times New Roman" w:hAnsi="Times New Roman" w:cs="Times New Roman"/>
        </w:rPr>
        <w:t xml:space="preserve"> </w:t>
      </w:r>
      <w:r w:rsidRPr="00520B8F">
        <w:rPr>
          <w:rFonts w:ascii="Times New Roman" w:hAnsi="Times New Roman" w:cs="Times New Roman"/>
          <w:bCs/>
        </w:rPr>
        <w:t xml:space="preserve">32086/07), </w:t>
      </w:r>
      <w:proofErr w:type="spellStart"/>
      <w:r w:rsidRPr="00520B8F">
        <w:rPr>
          <w:rFonts w:ascii="Times New Roman" w:hAnsi="Times New Roman" w:cs="Times New Roman"/>
          <w:bCs/>
        </w:rPr>
        <w:t>Senturk</w:t>
      </w:r>
      <w:proofErr w:type="spellEnd"/>
      <w:r w:rsidRPr="00520B8F">
        <w:rPr>
          <w:rFonts w:ascii="Times New Roman" w:hAnsi="Times New Roman" w:cs="Times New Roman"/>
          <w:bCs/>
        </w:rPr>
        <w:t xml:space="preserve"> v. Turkey (Application no.</w:t>
      </w:r>
      <w:r w:rsidRPr="00520B8F">
        <w:rPr>
          <w:rFonts w:ascii="Times New Roman" w:hAnsi="Times New Roman" w:cs="Times New Roman"/>
        </w:rPr>
        <w:t xml:space="preserve"> </w:t>
      </w:r>
      <w:r w:rsidRPr="00520B8F">
        <w:rPr>
          <w:rFonts w:ascii="Times New Roman" w:hAnsi="Times New Roman" w:cs="Times New Roman"/>
          <w:bCs/>
        </w:rPr>
        <w:t>13423/09).</w:t>
      </w:r>
    </w:p>
    <w:p w14:paraId="79A35F9C" w14:textId="77777777" w:rsidR="00EF66FA" w:rsidRPr="00520B8F" w:rsidRDefault="00EF66FA" w:rsidP="009124AD">
      <w:pPr>
        <w:jc w:val="both"/>
        <w:rPr>
          <w:rFonts w:ascii="Times New Roman" w:hAnsi="Times New Roman" w:cs="Times New Roman"/>
        </w:rPr>
      </w:pPr>
    </w:p>
    <w:p w14:paraId="0B97E7C6"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2. Life Memory Freedom Association [</w:t>
      </w:r>
      <w:proofErr w:type="spellStart"/>
      <w:r w:rsidRPr="00520B8F">
        <w:rPr>
          <w:rFonts w:ascii="Times New Roman" w:hAnsi="Times New Roman" w:cs="Times New Roman"/>
        </w:rPr>
        <w:t>Yaşam</w:t>
      </w:r>
      <w:proofErr w:type="spellEnd"/>
      <w:r w:rsidRPr="00520B8F">
        <w:rPr>
          <w:rFonts w:ascii="Times New Roman" w:hAnsi="Times New Roman" w:cs="Times New Roman"/>
        </w:rPr>
        <w:t xml:space="preserve"> </w:t>
      </w:r>
      <w:proofErr w:type="spellStart"/>
      <w:r w:rsidRPr="00520B8F">
        <w:rPr>
          <w:rFonts w:ascii="Times New Roman" w:hAnsi="Times New Roman" w:cs="Times New Roman"/>
        </w:rPr>
        <w:t>Bellek</w:t>
      </w:r>
      <w:proofErr w:type="spellEnd"/>
      <w:r w:rsidRPr="00520B8F">
        <w:rPr>
          <w:rFonts w:ascii="Times New Roman" w:hAnsi="Times New Roman" w:cs="Times New Roman"/>
        </w:rPr>
        <w:t xml:space="preserve"> </w:t>
      </w:r>
      <w:proofErr w:type="spellStart"/>
      <w:r w:rsidRPr="00520B8F">
        <w:rPr>
          <w:rFonts w:ascii="Times New Roman" w:hAnsi="Times New Roman" w:cs="Times New Roman"/>
        </w:rPr>
        <w:t>Özgürlük</w:t>
      </w:r>
      <w:proofErr w:type="spellEnd"/>
      <w:r w:rsidRPr="00520B8F">
        <w:rPr>
          <w:rFonts w:ascii="Times New Roman" w:hAnsi="Times New Roman" w:cs="Times New Roman"/>
        </w:rPr>
        <w:t xml:space="preserve"> </w:t>
      </w:r>
      <w:proofErr w:type="spellStart"/>
      <w:r w:rsidRPr="00520B8F">
        <w:rPr>
          <w:rFonts w:ascii="Times New Roman" w:hAnsi="Times New Roman" w:cs="Times New Roman"/>
        </w:rPr>
        <w:t>Derneği</w:t>
      </w:r>
      <w:proofErr w:type="spellEnd"/>
      <w:r w:rsidRPr="00520B8F">
        <w:rPr>
          <w:rFonts w:ascii="Times New Roman" w:hAnsi="Times New Roman" w:cs="Times New Roman"/>
        </w:rPr>
        <w:t>] is a non-governmental organization working in the field of human rights. The Association made applications to the Constitutional Court and the European Court of Human Rights regarding restrictions to the freedom of expression. Among the members of the Association are lawyers who have experience in similar cases and academics who are specialized in human rights law and other related legislations.</w:t>
      </w:r>
      <w:r w:rsidRPr="00520B8F">
        <w:rPr>
          <w:rStyle w:val="DipnotBavurusu"/>
          <w:rFonts w:ascii="Times New Roman" w:hAnsi="Times New Roman" w:cs="Times New Roman"/>
        </w:rPr>
        <w:footnoteReference w:id="2"/>
      </w:r>
      <w:r w:rsidRPr="00520B8F">
        <w:rPr>
          <w:rFonts w:ascii="Times New Roman" w:hAnsi="Times New Roman" w:cs="Times New Roman"/>
        </w:rPr>
        <w:t xml:space="preserve"> </w:t>
      </w:r>
    </w:p>
    <w:p w14:paraId="5DA35365" w14:textId="77777777" w:rsidR="00EF66FA" w:rsidRPr="00520B8F" w:rsidRDefault="00EF66FA" w:rsidP="009124AD">
      <w:pPr>
        <w:jc w:val="both"/>
        <w:rPr>
          <w:rFonts w:ascii="Times New Roman" w:hAnsi="Times New Roman" w:cs="Times New Roman"/>
        </w:rPr>
      </w:pPr>
    </w:p>
    <w:p w14:paraId="5DC339EF" w14:textId="1DF7CE5D" w:rsidR="00EF66FA" w:rsidRPr="00520B8F" w:rsidRDefault="00EF66FA" w:rsidP="009124AD">
      <w:pPr>
        <w:ind w:firstLine="720"/>
        <w:jc w:val="both"/>
        <w:rPr>
          <w:rFonts w:ascii="Times New Roman" w:hAnsi="Times New Roman" w:cs="Times New Roman"/>
          <w:b/>
        </w:rPr>
      </w:pPr>
      <w:r w:rsidRPr="00520B8F">
        <w:rPr>
          <w:rFonts w:ascii="Times New Roman" w:hAnsi="Times New Roman" w:cs="Times New Roman"/>
          <w:b/>
        </w:rPr>
        <w:t>1.</w:t>
      </w:r>
      <w:r w:rsidR="00756E86" w:rsidRPr="00520B8F">
        <w:rPr>
          <w:rFonts w:ascii="Times New Roman" w:hAnsi="Times New Roman" w:cs="Times New Roman"/>
          <w:b/>
        </w:rPr>
        <w:t xml:space="preserve"> </w:t>
      </w:r>
      <w:r w:rsidRPr="00520B8F">
        <w:rPr>
          <w:rFonts w:ascii="Times New Roman" w:hAnsi="Times New Roman" w:cs="Times New Roman"/>
          <w:b/>
        </w:rPr>
        <w:t>Case Description</w:t>
      </w:r>
    </w:p>
    <w:p w14:paraId="25926369" w14:textId="77777777" w:rsidR="00EF66FA" w:rsidRPr="00520B8F" w:rsidRDefault="00EF66FA" w:rsidP="009124AD">
      <w:pPr>
        <w:jc w:val="both"/>
        <w:rPr>
          <w:rFonts w:ascii="Times New Roman" w:hAnsi="Times New Roman" w:cs="Times New Roman"/>
        </w:rPr>
      </w:pPr>
    </w:p>
    <w:p w14:paraId="7BFC87F6"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3. These cases concern the failure of the Turkish authorities to protect the lives of the applicants or their next-of-kin between 1996 and 2005 on account of medical negligence or medical errors committed by health care providers employed mainly by state-run hospitals (substantial and/or procedural violations of Article 2).</w:t>
      </w:r>
    </w:p>
    <w:p w14:paraId="21F8D9E3" w14:textId="77777777" w:rsidR="00EF66FA" w:rsidRPr="00520B8F" w:rsidRDefault="00EF66FA" w:rsidP="009124AD">
      <w:pPr>
        <w:jc w:val="both"/>
        <w:rPr>
          <w:rFonts w:ascii="Times New Roman" w:hAnsi="Times New Roman" w:cs="Times New Roman"/>
        </w:rPr>
      </w:pPr>
    </w:p>
    <w:p w14:paraId="62CB9422"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4. The European Court identified the following violations of Article 2 in its substantive aspect:</w:t>
      </w:r>
    </w:p>
    <w:p w14:paraId="36FEBECF" w14:textId="77777777" w:rsidR="00EF66FA" w:rsidRPr="00520B8F" w:rsidRDefault="00EF66FA" w:rsidP="009124AD">
      <w:pPr>
        <w:jc w:val="both"/>
        <w:rPr>
          <w:rFonts w:ascii="Times New Roman" w:hAnsi="Times New Roman" w:cs="Times New Roman"/>
        </w:rPr>
      </w:pPr>
    </w:p>
    <w:p w14:paraId="65EAD899"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lastRenderedPageBreak/>
        <w:t>-Failure to cover fully the applicant’s (who was infected with HIV virus after birth) medical expenses despite full liability attributed to the State by decisions of civil and administrative courts (</w:t>
      </w:r>
      <w:proofErr w:type="spellStart"/>
      <w:r w:rsidRPr="00520B8F">
        <w:rPr>
          <w:rFonts w:ascii="Times New Roman" w:hAnsi="Times New Roman" w:cs="Times New Roman"/>
        </w:rPr>
        <w:t>Oyal</w:t>
      </w:r>
      <w:proofErr w:type="spellEnd"/>
      <w:r w:rsidRPr="00520B8F">
        <w:rPr>
          <w:rFonts w:ascii="Times New Roman" w:hAnsi="Times New Roman" w:cs="Times New Roman"/>
        </w:rPr>
        <w:t>);</w:t>
      </w:r>
    </w:p>
    <w:p w14:paraId="7D8457C5" w14:textId="77777777" w:rsidR="00EF66FA" w:rsidRPr="00520B8F" w:rsidRDefault="00EF66FA" w:rsidP="009124AD">
      <w:pPr>
        <w:jc w:val="both"/>
        <w:rPr>
          <w:rFonts w:ascii="Times New Roman" w:hAnsi="Times New Roman" w:cs="Times New Roman"/>
        </w:rPr>
      </w:pPr>
    </w:p>
    <w:p w14:paraId="592819E0"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 xml:space="preserve">-Refusal to admit patients in critical medical condition to hospitals and to provide medical treatment because of the patient’s inability to pre-pay hospital fees (Mehmet </w:t>
      </w:r>
      <w:proofErr w:type="spellStart"/>
      <w:r w:rsidRPr="00520B8F">
        <w:rPr>
          <w:rFonts w:ascii="Times New Roman" w:hAnsi="Times New Roman" w:cs="Times New Roman"/>
        </w:rPr>
        <w:t>Şentürk</w:t>
      </w:r>
      <w:proofErr w:type="spellEnd"/>
      <w:r w:rsidRPr="00520B8F">
        <w:rPr>
          <w:rFonts w:ascii="Times New Roman" w:hAnsi="Times New Roman" w:cs="Times New Roman"/>
        </w:rPr>
        <w:t xml:space="preserve"> and </w:t>
      </w:r>
      <w:proofErr w:type="spellStart"/>
      <w:r w:rsidRPr="00520B8F">
        <w:rPr>
          <w:rFonts w:ascii="Times New Roman" w:hAnsi="Times New Roman" w:cs="Times New Roman"/>
        </w:rPr>
        <w:t>Bekir</w:t>
      </w:r>
      <w:proofErr w:type="spellEnd"/>
      <w:r w:rsidRPr="00520B8F">
        <w:rPr>
          <w:rFonts w:ascii="Times New Roman" w:hAnsi="Times New Roman" w:cs="Times New Roman"/>
        </w:rPr>
        <w:t xml:space="preserve"> </w:t>
      </w:r>
      <w:proofErr w:type="spellStart"/>
      <w:r w:rsidRPr="00520B8F">
        <w:rPr>
          <w:rFonts w:ascii="Times New Roman" w:hAnsi="Times New Roman" w:cs="Times New Roman"/>
        </w:rPr>
        <w:t>Şentürk</w:t>
      </w:r>
      <w:proofErr w:type="spellEnd"/>
      <w:r w:rsidRPr="00520B8F">
        <w:rPr>
          <w:rFonts w:ascii="Times New Roman" w:hAnsi="Times New Roman" w:cs="Times New Roman"/>
        </w:rPr>
        <w:t>) or because of lack of sufficient number of incubators in a hospital (</w:t>
      </w:r>
      <w:proofErr w:type="spellStart"/>
      <w:r w:rsidRPr="00520B8F">
        <w:rPr>
          <w:rFonts w:ascii="Times New Roman" w:hAnsi="Times New Roman" w:cs="Times New Roman"/>
        </w:rPr>
        <w:t>Asiye</w:t>
      </w:r>
      <w:proofErr w:type="spellEnd"/>
      <w:r w:rsidRPr="00520B8F">
        <w:rPr>
          <w:rFonts w:ascii="Times New Roman" w:hAnsi="Times New Roman" w:cs="Times New Roman"/>
        </w:rPr>
        <w:t xml:space="preserve"> </w:t>
      </w:r>
      <w:proofErr w:type="spellStart"/>
      <w:r w:rsidRPr="00520B8F">
        <w:rPr>
          <w:rFonts w:ascii="Times New Roman" w:hAnsi="Times New Roman" w:cs="Times New Roman"/>
        </w:rPr>
        <w:t>Genç</w:t>
      </w:r>
      <w:proofErr w:type="spellEnd"/>
      <w:r w:rsidRPr="00520B8F">
        <w:rPr>
          <w:rFonts w:ascii="Times New Roman" w:hAnsi="Times New Roman" w:cs="Times New Roman"/>
        </w:rPr>
        <w:t>);</w:t>
      </w:r>
    </w:p>
    <w:p w14:paraId="72758335" w14:textId="77777777" w:rsidR="00EF66FA" w:rsidRPr="00520B8F" w:rsidRDefault="00EF66FA" w:rsidP="009124AD">
      <w:pPr>
        <w:jc w:val="both"/>
        <w:rPr>
          <w:rFonts w:ascii="Times New Roman" w:hAnsi="Times New Roman" w:cs="Times New Roman"/>
        </w:rPr>
      </w:pPr>
    </w:p>
    <w:p w14:paraId="21378A7B"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-Lack of coordination between hospitals before a patient in an emergency situation is transferred from one hospital to another and the absence of medical assistance during transfer (</w:t>
      </w:r>
      <w:proofErr w:type="spellStart"/>
      <w:r w:rsidRPr="00520B8F">
        <w:rPr>
          <w:rFonts w:ascii="Times New Roman" w:hAnsi="Times New Roman" w:cs="Times New Roman"/>
        </w:rPr>
        <w:t>Asiye</w:t>
      </w:r>
      <w:proofErr w:type="spellEnd"/>
      <w:r w:rsidRPr="00520B8F">
        <w:rPr>
          <w:rFonts w:ascii="Times New Roman" w:hAnsi="Times New Roman" w:cs="Times New Roman"/>
        </w:rPr>
        <w:t xml:space="preserve"> </w:t>
      </w:r>
      <w:proofErr w:type="spellStart"/>
      <w:r w:rsidRPr="00520B8F">
        <w:rPr>
          <w:rFonts w:ascii="Times New Roman" w:hAnsi="Times New Roman" w:cs="Times New Roman"/>
        </w:rPr>
        <w:t>Genç</w:t>
      </w:r>
      <w:proofErr w:type="spellEnd"/>
      <w:r w:rsidRPr="00520B8F">
        <w:rPr>
          <w:rFonts w:ascii="Times New Roman" w:hAnsi="Times New Roman" w:cs="Times New Roman"/>
        </w:rPr>
        <w:t>);</w:t>
      </w:r>
    </w:p>
    <w:p w14:paraId="6AC85ED5" w14:textId="77777777" w:rsidR="00EF66FA" w:rsidRPr="00520B8F" w:rsidRDefault="00EF66FA" w:rsidP="009124AD">
      <w:pPr>
        <w:jc w:val="both"/>
        <w:rPr>
          <w:rFonts w:ascii="Times New Roman" w:hAnsi="Times New Roman" w:cs="Times New Roman"/>
        </w:rPr>
      </w:pPr>
    </w:p>
    <w:p w14:paraId="23EAFC87"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5. The European Court identified the following violations of Article 2 in its procedural aspect:</w:t>
      </w:r>
    </w:p>
    <w:p w14:paraId="08E6974B" w14:textId="77777777" w:rsidR="00EF66FA" w:rsidRPr="00520B8F" w:rsidRDefault="00EF66FA" w:rsidP="009124AD">
      <w:pPr>
        <w:jc w:val="both"/>
        <w:rPr>
          <w:rFonts w:ascii="Times New Roman" w:hAnsi="Times New Roman" w:cs="Times New Roman"/>
        </w:rPr>
      </w:pPr>
    </w:p>
    <w:p w14:paraId="1146E055"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-Failure of domestic courts to examine cases of medical negligence with exceptional diligence and promptness, in particular on account of excessive delays encountered in the submission of medical reports setting out liability of health care providers, which resulted in exceptionally lengthy proceedings, as well as on account of the absence of relevant and requisite information in such reports;</w:t>
      </w:r>
    </w:p>
    <w:p w14:paraId="6718C650" w14:textId="77777777" w:rsidR="00EF66FA" w:rsidRPr="00520B8F" w:rsidRDefault="00EF66FA" w:rsidP="009124AD">
      <w:pPr>
        <w:jc w:val="both"/>
        <w:rPr>
          <w:rFonts w:ascii="Times New Roman" w:hAnsi="Times New Roman" w:cs="Times New Roman"/>
        </w:rPr>
      </w:pPr>
    </w:p>
    <w:p w14:paraId="3C7CD610"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 xml:space="preserve">-Dropping of charges on account of the application of prescription periods in lengthy proceedings or refusal to give administrative </w:t>
      </w:r>
      <w:proofErr w:type="spellStart"/>
      <w:r w:rsidRPr="00520B8F">
        <w:rPr>
          <w:rFonts w:ascii="Times New Roman" w:hAnsi="Times New Roman" w:cs="Times New Roman"/>
        </w:rPr>
        <w:t>authorisation</w:t>
      </w:r>
      <w:proofErr w:type="spellEnd"/>
      <w:r w:rsidRPr="00520B8F">
        <w:rPr>
          <w:rFonts w:ascii="Times New Roman" w:hAnsi="Times New Roman" w:cs="Times New Roman"/>
        </w:rPr>
        <w:t xml:space="preserve"> so that proceedings could be initiated against health care providers;</w:t>
      </w:r>
    </w:p>
    <w:p w14:paraId="1C2CE5FA" w14:textId="77777777" w:rsidR="00EF66FA" w:rsidRPr="00520B8F" w:rsidRDefault="00EF66FA" w:rsidP="009124AD">
      <w:pPr>
        <w:jc w:val="both"/>
        <w:rPr>
          <w:rFonts w:ascii="Times New Roman" w:hAnsi="Times New Roman" w:cs="Times New Roman"/>
        </w:rPr>
      </w:pPr>
    </w:p>
    <w:p w14:paraId="017F6A36"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-Failure of a domestic court to establish the facts.</w:t>
      </w:r>
    </w:p>
    <w:p w14:paraId="101A4A8C" w14:textId="77777777" w:rsidR="00EF66FA" w:rsidRPr="00520B8F" w:rsidRDefault="00EF66FA" w:rsidP="009124AD">
      <w:pPr>
        <w:jc w:val="both"/>
        <w:rPr>
          <w:rFonts w:ascii="Times New Roman" w:hAnsi="Times New Roman" w:cs="Times New Roman"/>
        </w:rPr>
      </w:pPr>
    </w:p>
    <w:p w14:paraId="5BAAA7CA" w14:textId="77777777" w:rsidR="00EF66FA" w:rsidRPr="00520B8F" w:rsidRDefault="00EF66FA" w:rsidP="009124AD">
      <w:pPr>
        <w:jc w:val="both"/>
        <w:rPr>
          <w:rFonts w:ascii="Times New Roman" w:hAnsi="Times New Roman" w:cs="Times New Roman"/>
        </w:rPr>
      </w:pPr>
      <w:r w:rsidRPr="00520B8F">
        <w:rPr>
          <w:rFonts w:ascii="Times New Roman" w:hAnsi="Times New Roman" w:cs="Times New Roman"/>
        </w:rPr>
        <w:t xml:space="preserve">6. The Court further found in the </w:t>
      </w:r>
      <w:proofErr w:type="spellStart"/>
      <w:r w:rsidRPr="00520B8F">
        <w:rPr>
          <w:rFonts w:ascii="Times New Roman" w:hAnsi="Times New Roman" w:cs="Times New Roman"/>
        </w:rPr>
        <w:t>Oyal</w:t>
      </w:r>
      <w:proofErr w:type="spellEnd"/>
      <w:r w:rsidRPr="00520B8F">
        <w:rPr>
          <w:rFonts w:ascii="Times New Roman" w:hAnsi="Times New Roman" w:cs="Times New Roman"/>
        </w:rPr>
        <w:t xml:space="preserve"> case that the administrative courts failed in their duty to conduct the compensation proceedings with exceptional diligence in view of the applicant’s condition and the gravity of overall situation (violation of Article 6 § 1) and that the Turkish legal system failed in providing an effective remedy whereby the length of the proceedings could successfully be challenged (violation of Article 13). In this case, the European Court held that the respondent Government must provide free and full medical cover for the applicant during his lifetime.</w:t>
      </w:r>
    </w:p>
    <w:p w14:paraId="3CF3C7F0" w14:textId="77777777" w:rsidR="00A42B1E" w:rsidRPr="00520B8F" w:rsidRDefault="00A42B1E" w:rsidP="009124AD">
      <w:pPr>
        <w:jc w:val="both"/>
        <w:rPr>
          <w:rFonts w:ascii="Times New Roman" w:hAnsi="Times New Roman" w:cs="Times New Roman"/>
        </w:rPr>
      </w:pPr>
    </w:p>
    <w:p w14:paraId="07CA3A8B" w14:textId="77777777" w:rsidR="00117179" w:rsidRPr="00520B8F" w:rsidRDefault="00117179" w:rsidP="009124AD">
      <w:pPr>
        <w:ind w:firstLine="720"/>
        <w:jc w:val="both"/>
        <w:rPr>
          <w:rFonts w:ascii="Times New Roman" w:hAnsi="Times New Roman" w:cs="Times New Roman"/>
          <w:b/>
        </w:rPr>
      </w:pPr>
      <w:r w:rsidRPr="00520B8F">
        <w:rPr>
          <w:rFonts w:ascii="Times New Roman" w:hAnsi="Times New Roman" w:cs="Times New Roman"/>
          <w:b/>
        </w:rPr>
        <w:t>2. Related Recent Developments</w:t>
      </w:r>
    </w:p>
    <w:p w14:paraId="743493D3" w14:textId="77777777" w:rsidR="00117179" w:rsidRPr="00520B8F" w:rsidRDefault="00117179" w:rsidP="009124AD">
      <w:pPr>
        <w:ind w:firstLine="720"/>
        <w:jc w:val="both"/>
        <w:outlineLvl w:val="0"/>
        <w:rPr>
          <w:rFonts w:ascii="Times New Roman" w:hAnsi="Times New Roman" w:cs="Times New Roman"/>
          <w:b/>
        </w:rPr>
      </w:pPr>
      <w:r w:rsidRPr="00520B8F">
        <w:rPr>
          <w:rFonts w:ascii="Times New Roman" w:hAnsi="Times New Roman" w:cs="Times New Roman"/>
          <w:b/>
        </w:rPr>
        <w:t>2.1. General Measures Taken in Regard to Healthcare Services</w:t>
      </w:r>
    </w:p>
    <w:p w14:paraId="1900F7F5" w14:textId="77777777" w:rsidR="00B33510" w:rsidRPr="00520B8F" w:rsidRDefault="00B33510" w:rsidP="009124AD">
      <w:pPr>
        <w:ind w:firstLine="720"/>
        <w:jc w:val="both"/>
        <w:outlineLvl w:val="0"/>
        <w:rPr>
          <w:rFonts w:ascii="Times New Roman" w:hAnsi="Times New Roman" w:cs="Times New Roman"/>
          <w:b/>
        </w:rPr>
      </w:pPr>
    </w:p>
    <w:p w14:paraId="07AF3AE7" w14:textId="2225C4B3" w:rsidR="00EF66FA" w:rsidRPr="00520B8F" w:rsidRDefault="00117179" w:rsidP="009124AD">
      <w:pPr>
        <w:ind w:firstLine="720"/>
        <w:jc w:val="both"/>
        <w:outlineLvl w:val="0"/>
        <w:rPr>
          <w:rFonts w:ascii="Times New Roman" w:hAnsi="Times New Roman" w:cs="Times New Roman"/>
          <w:b/>
        </w:rPr>
      </w:pPr>
      <w:r w:rsidRPr="00520B8F">
        <w:rPr>
          <w:rFonts w:ascii="Times New Roman" w:hAnsi="Times New Roman" w:cs="Times New Roman"/>
          <w:b/>
        </w:rPr>
        <w:t xml:space="preserve">2.1.1. </w:t>
      </w:r>
      <w:r w:rsidR="00756E86" w:rsidRPr="00520B8F">
        <w:rPr>
          <w:rFonts w:ascii="Times New Roman" w:hAnsi="Times New Roman" w:cs="Times New Roman"/>
          <w:b/>
        </w:rPr>
        <w:t>On the Statistical Data</w:t>
      </w:r>
      <w:r w:rsidR="005009C6" w:rsidRPr="00520B8F">
        <w:rPr>
          <w:rFonts w:ascii="Times New Roman" w:hAnsi="Times New Roman" w:cs="Times New Roman"/>
          <w:b/>
        </w:rPr>
        <w:t xml:space="preserve"> in the Government’s Op</w:t>
      </w:r>
      <w:r w:rsidR="00756E86" w:rsidRPr="00520B8F">
        <w:rPr>
          <w:rFonts w:ascii="Times New Roman" w:hAnsi="Times New Roman" w:cs="Times New Roman"/>
          <w:b/>
        </w:rPr>
        <w:t>i</w:t>
      </w:r>
      <w:r w:rsidR="005009C6" w:rsidRPr="00520B8F">
        <w:rPr>
          <w:rFonts w:ascii="Times New Roman" w:hAnsi="Times New Roman" w:cs="Times New Roman"/>
          <w:b/>
        </w:rPr>
        <w:t>nion</w:t>
      </w:r>
    </w:p>
    <w:p w14:paraId="54075B58" w14:textId="77777777" w:rsidR="00117179" w:rsidRPr="00520B8F" w:rsidRDefault="00117179" w:rsidP="009124AD">
      <w:pPr>
        <w:jc w:val="both"/>
        <w:rPr>
          <w:rFonts w:ascii="Times New Roman" w:hAnsi="Times New Roman" w:cs="Times New Roman"/>
        </w:rPr>
      </w:pPr>
    </w:p>
    <w:p w14:paraId="68735D8C" w14:textId="5AC49D5B" w:rsidR="00EF66FA" w:rsidRPr="00520B8F" w:rsidRDefault="004A1413" w:rsidP="009124AD">
      <w:pPr>
        <w:jc w:val="both"/>
        <w:rPr>
          <w:rFonts w:ascii="Times New Roman" w:hAnsi="Times New Roman" w:cs="Times New Roman"/>
        </w:rPr>
      </w:pPr>
      <w:r w:rsidRPr="00520B8F">
        <w:rPr>
          <w:rFonts w:ascii="Times New Roman" w:hAnsi="Times New Roman" w:cs="Times New Roman"/>
        </w:rPr>
        <w:t>7. Although statistics on the lawsuits filed against health institutions related to medical neglige</w:t>
      </w:r>
      <w:r w:rsidR="00192FC1" w:rsidRPr="00520B8F">
        <w:rPr>
          <w:rFonts w:ascii="Times New Roman" w:hAnsi="Times New Roman" w:cs="Times New Roman"/>
        </w:rPr>
        <w:t>nce are included in paragraph 10</w:t>
      </w:r>
      <w:r w:rsidRPr="00520B8F">
        <w:rPr>
          <w:rFonts w:ascii="Times New Roman" w:hAnsi="Times New Roman" w:cs="Times New Roman"/>
        </w:rPr>
        <w:t xml:space="preserve"> of the Government's opinion, the details of these statistics (court, type of lawsuit, number of plaintiffs and defendants, etc.) are not disclosed. As in previous years, there is no classification and evaluation of medical negligence in the forensic statistics published in 2020.</w:t>
      </w:r>
      <w:r w:rsidRPr="00520B8F">
        <w:rPr>
          <w:rStyle w:val="DipnotBavurusu"/>
          <w:rFonts w:ascii="Times New Roman" w:hAnsi="Times New Roman" w:cs="Times New Roman"/>
        </w:rPr>
        <w:footnoteReference w:id="3"/>
      </w:r>
      <w:r w:rsidRPr="00520B8F">
        <w:rPr>
          <w:rFonts w:ascii="Times New Roman" w:hAnsi="Times New Roman" w:cs="Times New Roman"/>
        </w:rPr>
        <w:t xml:space="preserve"> Information on this subject cannot be accessed on the websites of the Ministry of Health, the Ministry of Justice, the </w:t>
      </w:r>
      <w:r w:rsidR="00A721E1" w:rsidRPr="00520B8F">
        <w:rPr>
          <w:rFonts w:ascii="Times New Roman" w:hAnsi="Times New Roman" w:cs="Times New Roman"/>
          <w:shd w:val="clear" w:color="auto" w:fill="FFFFFF"/>
        </w:rPr>
        <w:t>Court of Cassation</w:t>
      </w:r>
      <w:r w:rsidRPr="00520B8F">
        <w:rPr>
          <w:rFonts w:ascii="Times New Roman" w:hAnsi="Times New Roman" w:cs="Times New Roman"/>
        </w:rPr>
        <w:t xml:space="preserve">, the Council of State or the Constitutional Court. Taking the population of the country and the problems </w:t>
      </w:r>
      <w:r w:rsidRPr="00520B8F">
        <w:rPr>
          <w:rFonts w:ascii="Times New Roman" w:hAnsi="Times New Roman" w:cs="Times New Roman"/>
        </w:rPr>
        <w:lastRenderedPageBreak/>
        <w:t>arising from health services into account, we anticipate that compensation cases arising from medical negligence are much larger. However, since there is no data shared with the public, it is not possible to make further evaluations on this issue.</w:t>
      </w:r>
    </w:p>
    <w:p w14:paraId="2205F45D" w14:textId="77777777" w:rsidR="004A1413" w:rsidRPr="00520B8F" w:rsidRDefault="004A1413" w:rsidP="009124AD">
      <w:pPr>
        <w:jc w:val="both"/>
        <w:rPr>
          <w:rFonts w:ascii="Times New Roman" w:hAnsi="Times New Roman" w:cs="Times New Roman"/>
        </w:rPr>
      </w:pPr>
    </w:p>
    <w:p w14:paraId="597C67A1" w14:textId="2C75552F" w:rsidR="004A1413" w:rsidRPr="00520B8F" w:rsidRDefault="004A1413" w:rsidP="009124AD">
      <w:pPr>
        <w:jc w:val="both"/>
        <w:rPr>
          <w:rFonts w:ascii="Times New Roman" w:hAnsi="Times New Roman" w:cs="Times New Roman"/>
        </w:rPr>
      </w:pPr>
      <w:r w:rsidRPr="00520B8F">
        <w:rPr>
          <w:rFonts w:ascii="Times New Roman" w:hAnsi="Times New Roman" w:cs="Times New Roman"/>
        </w:rPr>
        <w:t>8. The paragraph</w:t>
      </w:r>
      <w:r w:rsidR="00192FC1" w:rsidRPr="00520B8F">
        <w:rPr>
          <w:rFonts w:ascii="Times New Roman" w:hAnsi="Times New Roman" w:cs="Times New Roman"/>
        </w:rPr>
        <w:t xml:space="preserve"> 11</w:t>
      </w:r>
      <w:r w:rsidRPr="00520B8F">
        <w:rPr>
          <w:rFonts w:ascii="Times New Roman" w:hAnsi="Times New Roman" w:cs="Times New Roman"/>
        </w:rPr>
        <w:t xml:space="preserve"> of the Government's opinion includes information about city hospitals. </w:t>
      </w:r>
      <w:r w:rsidR="00E2242A" w:rsidRPr="00520B8F">
        <w:rPr>
          <w:rFonts w:ascii="Times New Roman" w:hAnsi="Times New Roman" w:cs="Times New Roman"/>
        </w:rPr>
        <w:t>Some</w:t>
      </w:r>
      <w:r w:rsidRPr="00520B8F">
        <w:rPr>
          <w:rFonts w:ascii="Times New Roman" w:hAnsi="Times New Roman" w:cs="Times New Roman"/>
        </w:rPr>
        <w:t xml:space="preserve"> studies e</w:t>
      </w:r>
      <w:r w:rsidR="00E2242A" w:rsidRPr="00520B8F">
        <w:rPr>
          <w:rFonts w:ascii="Times New Roman" w:hAnsi="Times New Roman" w:cs="Times New Roman"/>
        </w:rPr>
        <w:t>valuate</w:t>
      </w:r>
      <w:r w:rsidRPr="00520B8F">
        <w:rPr>
          <w:rFonts w:ascii="Times New Roman" w:hAnsi="Times New Roman" w:cs="Times New Roman"/>
        </w:rPr>
        <w:t xml:space="preserve"> the negative effects of these hospitals on the health system.</w:t>
      </w:r>
      <w:r w:rsidR="00E2242A" w:rsidRPr="00520B8F">
        <w:rPr>
          <w:rStyle w:val="DipnotBavurusu"/>
          <w:rFonts w:ascii="Times New Roman" w:hAnsi="Times New Roman" w:cs="Times New Roman"/>
        </w:rPr>
        <w:footnoteReference w:id="4"/>
      </w:r>
      <w:r w:rsidRPr="00520B8F">
        <w:rPr>
          <w:rFonts w:ascii="Times New Roman" w:hAnsi="Times New Roman" w:cs="Times New Roman"/>
        </w:rPr>
        <w:t xml:space="preserve"> The Turkish Medical Association, the only doctors</w:t>
      </w:r>
      <w:r w:rsidR="00B33510" w:rsidRPr="00520B8F">
        <w:rPr>
          <w:rFonts w:ascii="Times New Roman" w:hAnsi="Times New Roman" w:cs="Times New Roman"/>
        </w:rPr>
        <w:t>’</w:t>
      </w:r>
      <w:r w:rsidRPr="00520B8F">
        <w:rPr>
          <w:rFonts w:ascii="Times New Roman" w:hAnsi="Times New Roman" w:cs="Times New Roman"/>
        </w:rPr>
        <w:t xml:space="preserve"> association in the country, is absolutely against such health facilities.</w:t>
      </w:r>
      <w:r w:rsidR="00E2242A" w:rsidRPr="00520B8F">
        <w:rPr>
          <w:rStyle w:val="DipnotBavurusu"/>
          <w:rFonts w:ascii="Times New Roman" w:hAnsi="Times New Roman" w:cs="Times New Roman"/>
        </w:rPr>
        <w:footnoteReference w:id="5"/>
      </w:r>
      <w:r w:rsidR="005009C6" w:rsidRPr="00520B8F">
        <w:rPr>
          <w:rFonts w:ascii="Times New Roman" w:hAnsi="Times New Roman" w:cs="Times New Roman"/>
        </w:rPr>
        <w:t xml:space="preserve"> According to the Association, these facilities are inefficient, expensive and inaccessible for the public. </w:t>
      </w:r>
    </w:p>
    <w:p w14:paraId="640AD9B1" w14:textId="77777777" w:rsidR="00E2242A" w:rsidRPr="00520B8F" w:rsidRDefault="00E2242A" w:rsidP="009124AD">
      <w:pPr>
        <w:jc w:val="both"/>
        <w:rPr>
          <w:rFonts w:ascii="Times New Roman" w:hAnsi="Times New Roman" w:cs="Times New Roman"/>
        </w:rPr>
      </w:pPr>
    </w:p>
    <w:p w14:paraId="0F4E3E6F" w14:textId="05E2F60B" w:rsidR="00E2242A" w:rsidRPr="00520B8F" w:rsidRDefault="00E2242A" w:rsidP="009124AD">
      <w:pPr>
        <w:jc w:val="both"/>
        <w:rPr>
          <w:rFonts w:ascii="Times New Roman" w:hAnsi="Times New Roman" w:cs="Times New Roman"/>
        </w:rPr>
      </w:pPr>
      <w:r w:rsidRPr="00520B8F">
        <w:rPr>
          <w:rFonts w:ascii="Times New Roman" w:hAnsi="Times New Roman" w:cs="Times New Roman"/>
        </w:rPr>
        <w:t xml:space="preserve">9. </w:t>
      </w:r>
      <w:r w:rsidR="00915632" w:rsidRPr="00520B8F">
        <w:rPr>
          <w:rFonts w:ascii="Times New Roman" w:hAnsi="Times New Roman" w:cs="Times New Roman"/>
        </w:rPr>
        <w:t xml:space="preserve">Some statistical information </w:t>
      </w:r>
      <w:r w:rsidR="00034BA2" w:rsidRPr="00520B8F">
        <w:rPr>
          <w:rFonts w:ascii="Times New Roman" w:hAnsi="Times New Roman" w:cs="Times New Roman"/>
        </w:rPr>
        <w:t xml:space="preserve">is </w:t>
      </w:r>
      <w:r w:rsidR="00915632" w:rsidRPr="00520B8F">
        <w:rPr>
          <w:rFonts w:ascii="Times New Roman" w:hAnsi="Times New Roman" w:cs="Times New Roman"/>
        </w:rPr>
        <w:t>given i</w:t>
      </w:r>
      <w:r w:rsidRPr="00520B8F">
        <w:rPr>
          <w:rFonts w:ascii="Times New Roman" w:hAnsi="Times New Roman" w:cs="Times New Roman"/>
        </w:rPr>
        <w:t>n the Government's opi</w:t>
      </w:r>
      <w:r w:rsidR="00915632" w:rsidRPr="00520B8F">
        <w:rPr>
          <w:rFonts w:ascii="Times New Roman" w:hAnsi="Times New Roman" w:cs="Times New Roman"/>
        </w:rPr>
        <w:t xml:space="preserve">nion (on </w:t>
      </w:r>
      <w:r w:rsidRPr="00520B8F">
        <w:rPr>
          <w:rFonts w:ascii="Times New Roman" w:hAnsi="Times New Roman" w:cs="Times New Roman"/>
        </w:rPr>
        <w:t>family physicians</w:t>
      </w:r>
      <w:r w:rsidR="00192FC1" w:rsidRPr="00520B8F">
        <w:rPr>
          <w:rFonts w:ascii="Times New Roman" w:hAnsi="Times New Roman" w:cs="Times New Roman"/>
        </w:rPr>
        <w:t xml:space="preserve"> in paragraph 12</w:t>
      </w:r>
      <w:r w:rsidRPr="00520B8F">
        <w:rPr>
          <w:rFonts w:ascii="Times New Roman" w:hAnsi="Times New Roman" w:cs="Times New Roman"/>
        </w:rPr>
        <w:t xml:space="preserve">, </w:t>
      </w:r>
      <w:r w:rsidR="00915632" w:rsidRPr="00520B8F">
        <w:rPr>
          <w:rFonts w:ascii="Times New Roman" w:hAnsi="Times New Roman" w:cs="Times New Roman"/>
        </w:rPr>
        <w:t xml:space="preserve">the number of hospital beds and the number of general practitioners </w:t>
      </w:r>
      <w:r w:rsidRPr="00520B8F">
        <w:rPr>
          <w:rFonts w:ascii="Times New Roman" w:hAnsi="Times New Roman" w:cs="Times New Roman"/>
        </w:rPr>
        <w:t xml:space="preserve">in paragraph </w:t>
      </w:r>
      <w:r w:rsidR="00192FC1" w:rsidRPr="00520B8F">
        <w:rPr>
          <w:rFonts w:ascii="Times New Roman" w:hAnsi="Times New Roman" w:cs="Times New Roman"/>
        </w:rPr>
        <w:t>13</w:t>
      </w:r>
      <w:r w:rsidR="00915632" w:rsidRPr="00520B8F">
        <w:rPr>
          <w:rFonts w:ascii="Times New Roman" w:hAnsi="Times New Roman" w:cs="Times New Roman"/>
        </w:rPr>
        <w:t>,</w:t>
      </w:r>
      <w:r w:rsidRPr="00520B8F">
        <w:rPr>
          <w:rFonts w:ascii="Times New Roman" w:hAnsi="Times New Roman" w:cs="Times New Roman"/>
        </w:rPr>
        <w:t xml:space="preserve"> and </w:t>
      </w:r>
      <w:r w:rsidR="00915632" w:rsidRPr="00520B8F">
        <w:rPr>
          <w:rFonts w:ascii="Times New Roman" w:hAnsi="Times New Roman" w:cs="Times New Roman"/>
        </w:rPr>
        <w:t xml:space="preserve">some developments in the field of health in </w:t>
      </w:r>
      <w:r w:rsidR="00192FC1" w:rsidRPr="00520B8F">
        <w:rPr>
          <w:rFonts w:ascii="Times New Roman" w:hAnsi="Times New Roman" w:cs="Times New Roman"/>
        </w:rPr>
        <w:t>paragraph 14</w:t>
      </w:r>
      <w:r w:rsidR="00915632" w:rsidRPr="00520B8F">
        <w:rPr>
          <w:rFonts w:ascii="Times New Roman" w:hAnsi="Times New Roman" w:cs="Times New Roman"/>
        </w:rPr>
        <w:t>)</w:t>
      </w:r>
      <w:r w:rsidRPr="00520B8F">
        <w:rPr>
          <w:rFonts w:ascii="Times New Roman" w:hAnsi="Times New Roman" w:cs="Times New Roman"/>
        </w:rPr>
        <w:t xml:space="preserve">. </w:t>
      </w:r>
      <w:r w:rsidR="00915632" w:rsidRPr="00520B8F">
        <w:rPr>
          <w:rFonts w:ascii="Times New Roman" w:hAnsi="Times New Roman" w:cs="Times New Roman"/>
        </w:rPr>
        <w:t>Despite the improvements observed in the data, t</w:t>
      </w:r>
      <w:r w:rsidRPr="00520B8F">
        <w:rPr>
          <w:rFonts w:ascii="Times New Roman" w:hAnsi="Times New Roman" w:cs="Times New Roman"/>
        </w:rPr>
        <w:t xml:space="preserve">he problems experienced in accessing health services continue. </w:t>
      </w:r>
      <w:r w:rsidR="00796230" w:rsidRPr="00520B8F">
        <w:rPr>
          <w:rFonts w:ascii="Times New Roman" w:hAnsi="Times New Roman" w:cs="Times New Roman"/>
        </w:rPr>
        <w:t>The</w:t>
      </w:r>
      <w:r w:rsidRPr="00520B8F">
        <w:rPr>
          <w:rFonts w:ascii="Times New Roman" w:hAnsi="Times New Roman" w:cs="Times New Roman"/>
        </w:rPr>
        <w:t xml:space="preserve"> data do</w:t>
      </w:r>
      <w:r w:rsidR="00796230" w:rsidRPr="00520B8F">
        <w:rPr>
          <w:rFonts w:ascii="Times New Roman" w:hAnsi="Times New Roman" w:cs="Times New Roman"/>
        </w:rPr>
        <w:t>es</w:t>
      </w:r>
      <w:r w:rsidRPr="00520B8F">
        <w:rPr>
          <w:rFonts w:ascii="Times New Roman" w:hAnsi="Times New Roman" w:cs="Times New Roman"/>
        </w:rPr>
        <w:t xml:space="preserve"> not reflect the real situation in the underdeveloped regions and rural areas of the country.</w:t>
      </w:r>
      <w:r w:rsidRPr="00520B8F">
        <w:rPr>
          <w:rStyle w:val="DipnotBavurusu"/>
          <w:rFonts w:ascii="Times New Roman" w:hAnsi="Times New Roman" w:cs="Times New Roman"/>
        </w:rPr>
        <w:footnoteReference w:id="6"/>
      </w:r>
      <w:r w:rsidRPr="00520B8F">
        <w:rPr>
          <w:rFonts w:ascii="Times New Roman" w:hAnsi="Times New Roman" w:cs="Times New Roman"/>
        </w:rPr>
        <w:t xml:space="preserve"> On the other hand, the problems of access to health services for the discriminated segments of society (Roma</w:t>
      </w:r>
      <w:r w:rsidRPr="00520B8F">
        <w:rPr>
          <w:rStyle w:val="DipnotBavurusu"/>
          <w:rFonts w:ascii="Times New Roman" w:hAnsi="Times New Roman" w:cs="Times New Roman"/>
        </w:rPr>
        <w:footnoteReference w:id="7"/>
      </w:r>
      <w:r w:rsidRPr="00520B8F">
        <w:rPr>
          <w:rFonts w:ascii="Times New Roman" w:hAnsi="Times New Roman" w:cs="Times New Roman"/>
        </w:rPr>
        <w:t>, immigrants</w:t>
      </w:r>
      <w:r w:rsidRPr="00520B8F">
        <w:rPr>
          <w:rStyle w:val="DipnotBavurusu"/>
          <w:rFonts w:ascii="Times New Roman" w:hAnsi="Times New Roman" w:cs="Times New Roman"/>
        </w:rPr>
        <w:footnoteReference w:id="8"/>
      </w:r>
      <w:r w:rsidRPr="00520B8F">
        <w:rPr>
          <w:rFonts w:ascii="Times New Roman" w:hAnsi="Times New Roman" w:cs="Times New Roman"/>
        </w:rPr>
        <w:t>, prisoners</w:t>
      </w:r>
      <w:r w:rsidRPr="00520B8F">
        <w:rPr>
          <w:rStyle w:val="DipnotBavurusu"/>
          <w:rFonts w:ascii="Times New Roman" w:hAnsi="Times New Roman" w:cs="Times New Roman"/>
        </w:rPr>
        <w:footnoteReference w:id="9"/>
      </w:r>
      <w:r w:rsidRPr="00520B8F">
        <w:rPr>
          <w:rFonts w:ascii="Times New Roman" w:hAnsi="Times New Roman" w:cs="Times New Roman"/>
        </w:rPr>
        <w:t>, the poor</w:t>
      </w:r>
      <w:r w:rsidRPr="00520B8F">
        <w:rPr>
          <w:rStyle w:val="DipnotBavurusu"/>
          <w:rFonts w:ascii="Times New Roman" w:hAnsi="Times New Roman" w:cs="Times New Roman"/>
        </w:rPr>
        <w:footnoteReference w:id="10"/>
      </w:r>
      <w:r w:rsidRPr="00520B8F">
        <w:rPr>
          <w:rFonts w:ascii="Times New Roman" w:hAnsi="Times New Roman" w:cs="Times New Roman"/>
        </w:rPr>
        <w:t>, etc.) are much more extensive.</w:t>
      </w:r>
    </w:p>
    <w:p w14:paraId="41D4B5BE" w14:textId="77777777" w:rsidR="00915632" w:rsidRPr="00520B8F" w:rsidRDefault="00915632" w:rsidP="009124AD">
      <w:pPr>
        <w:jc w:val="both"/>
        <w:rPr>
          <w:rFonts w:ascii="Times New Roman" w:hAnsi="Times New Roman" w:cs="Times New Roman"/>
        </w:rPr>
      </w:pPr>
    </w:p>
    <w:p w14:paraId="184D1B48" w14:textId="6F05AFFA" w:rsidR="00915632" w:rsidRPr="00520B8F" w:rsidRDefault="00915632" w:rsidP="009124AD">
      <w:pPr>
        <w:jc w:val="both"/>
        <w:rPr>
          <w:rFonts w:ascii="Times New Roman" w:hAnsi="Times New Roman" w:cs="Times New Roman"/>
        </w:rPr>
      </w:pPr>
      <w:r w:rsidRPr="00520B8F">
        <w:rPr>
          <w:rFonts w:ascii="Times New Roman" w:hAnsi="Times New Roman" w:cs="Times New Roman"/>
        </w:rPr>
        <w:t>10. Although</w:t>
      </w:r>
      <w:r w:rsidR="00192FC1" w:rsidRPr="00520B8F">
        <w:rPr>
          <w:rFonts w:ascii="Times New Roman" w:hAnsi="Times New Roman" w:cs="Times New Roman"/>
        </w:rPr>
        <w:t xml:space="preserve"> the statistics in paragraphs 15 to 31</w:t>
      </w:r>
      <w:r w:rsidRPr="00520B8F">
        <w:rPr>
          <w:rFonts w:ascii="Times New Roman" w:hAnsi="Times New Roman" w:cs="Times New Roman"/>
        </w:rPr>
        <w:t xml:space="preserve"> of the Government's opinion show that there has been significant progress in maternal and newborn health, there </w:t>
      </w:r>
      <w:r w:rsidR="00FD387A" w:rsidRPr="00520B8F">
        <w:rPr>
          <w:rFonts w:ascii="Times New Roman" w:hAnsi="Times New Roman" w:cs="Times New Roman"/>
        </w:rPr>
        <w:t xml:space="preserve">still </w:t>
      </w:r>
      <w:r w:rsidRPr="00520B8F">
        <w:rPr>
          <w:rFonts w:ascii="Times New Roman" w:hAnsi="Times New Roman" w:cs="Times New Roman"/>
        </w:rPr>
        <w:t>are two to three times negative differences with developed countries in all statistical data.</w:t>
      </w:r>
      <w:r w:rsidRPr="00520B8F">
        <w:rPr>
          <w:rStyle w:val="DipnotBavurusu"/>
          <w:rFonts w:ascii="Times New Roman" w:hAnsi="Times New Roman" w:cs="Times New Roman"/>
        </w:rPr>
        <w:footnoteReference w:id="11"/>
      </w:r>
    </w:p>
    <w:p w14:paraId="429DEE32" w14:textId="77777777" w:rsidR="00117179" w:rsidRPr="00520B8F" w:rsidRDefault="00117179" w:rsidP="009124AD">
      <w:pPr>
        <w:jc w:val="both"/>
        <w:rPr>
          <w:rFonts w:ascii="Times New Roman" w:hAnsi="Times New Roman" w:cs="Times New Roman"/>
        </w:rPr>
      </w:pPr>
    </w:p>
    <w:p w14:paraId="703F4222" w14:textId="45D9169A" w:rsidR="00117179" w:rsidRPr="00520B8F" w:rsidRDefault="00117179" w:rsidP="009124AD">
      <w:pPr>
        <w:ind w:firstLine="720"/>
        <w:jc w:val="both"/>
        <w:outlineLvl w:val="0"/>
        <w:rPr>
          <w:rFonts w:ascii="Times New Roman" w:hAnsi="Times New Roman" w:cs="Times New Roman"/>
        </w:rPr>
      </w:pPr>
      <w:r w:rsidRPr="00520B8F">
        <w:rPr>
          <w:rFonts w:ascii="Times New Roman" w:hAnsi="Times New Roman" w:cs="Times New Roman"/>
          <w:b/>
        </w:rPr>
        <w:t>2.1.2. Developments in intensive care services neonatal units</w:t>
      </w:r>
    </w:p>
    <w:p w14:paraId="2B7AECA1" w14:textId="77777777" w:rsidR="001150D4" w:rsidRPr="00520B8F" w:rsidRDefault="001150D4" w:rsidP="009124AD">
      <w:pPr>
        <w:jc w:val="both"/>
        <w:rPr>
          <w:rFonts w:ascii="Times New Roman" w:hAnsi="Times New Roman" w:cs="Times New Roman"/>
        </w:rPr>
      </w:pPr>
    </w:p>
    <w:p w14:paraId="25D49AD5" w14:textId="5F3DEB47" w:rsidR="001150D4" w:rsidRPr="00520B8F" w:rsidRDefault="001150D4" w:rsidP="009124AD">
      <w:pPr>
        <w:jc w:val="both"/>
        <w:rPr>
          <w:rFonts w:ascii="Times New Roman" w:hAnsi="Times New Roman" w:cs="Times New Roman"/>
        </w:rPr>
      </w:pPr>
      <w:r w:rsidRPr="00520B8F">
        <w:rPr>
          <w:rFonts w:ascii="Times New Roman" w:hAnsi="Times New Roman" w:cs="Times New Roman"/>
        </w:rPr>
        <w:t xml:space="preserve">11. </w:t>
      </w:r>
      <w:r w:rsidR="00492145" w:rsidRPr="00520B8F">
        <w:rPr>
          <w:rFonts w:ascii="Times New Roman" w:hAnsi="Times New Roman" w:cs="Times New Roman"/>
        </w:rPr>
        <w:t xml:space="preserve">In </w:t>
      </w:r>
      <w:proofErr w:type="spellStart"/>
      <w:r w:rsidR="00492145" w:rsidRPr="00520B8F">
        <w:rPr>
          <w:rFonts w:ascii="Times New Roman" w:hAnsi="Times New Roman" w:cs="Times New Roman"/>
        </w:rPr>
        <w:t>Asiye</w:t>
      </w:r>
      <w:proofErr w:type="spellEnd"/>
      <w:r w:rsidR="00492145" w:rsidRPr="00520B8F">
        <w:rPr>
          <w:rFonts w:ascii="Times New Roman" w:hAnsi="Times New Roman" w:cs="Times New Roman"/>
        </w:rPr>
        <w:t xml:space="preserve"> </w:t>
      </w:r>
      <w:proofErr w:type="spellStart"/>
      <w:r w:rsidR="00492145" w:rsidRPr="00520B8F">
        <w:rPr>
          <w:rFonts w:ascii="Times New Roman" w:hAnsi="Times New Roman" w:cs="Times New Roman"/>
        </w:rPr>
        <w:t>Genç</w:t>
      </w:r>
      <w:proofErr w:type="spellEnd"/>
      <w:r w:rsidR="00492145" w:rsidRPr="00520B8F">
        <w:rPr>
          <w:rFonts w:ascii="Times New Roman" w:hAnsi="Times New Roman" w:cs="Times New Roman"/>
        </w:rPr>
        <w:t xml:space="preserve"> </w:t>
      </w:r>
      <w:proofErr w:type="spellStart"/>
      <w:r w:rsidR="00492145" w:rsidRPr="00520B8F">
        <w:rPr>
          <w:rFonts w:ascii="Times New Roman" w:hAnsi="Times New Roman" w:cs="Times New Roman"/>
        </w:rPr>
        <w:t>judgement</w:t>
      </w:r>
      <w:proofErr w:type="spellEnd"/>
      <w:r w:rsidR="00492145" w:rsidRPr="00520B8F">
        <w:rPr>
          <w:rFonts w:ascii="Times New Roman" w:hAnsi="Times New Roman" w:cs="Times New Roman"/>
        </w:rPr>
        <w:t xml:space="preserve">, European Court of Human Rights considered that the lack of sufficient number of incubators in a hospital as a violation of Article 2. </w:t>
      </w:r>
      <w:r w:rsidR="001E45B2" w:rsidRPr="00520B8F">
        <w:rPr>
          <w:rFonts w:ascii="Times New Roman" w:hAnsi="Times New Roman" w:cs="Times New Roman"/>
        </w:rPr>
        <w:t>In</w:t>
      </w:r>
      <w:r w:rsidR="00192FC1" w:rsidRPr="00520B8F">
        <w:rPr>
          <w:rFonts w:ascii="Times New Roman" w:hAnsi="Times New Roman" w:cs="Times New Roman"/>
        </w:rPr>
        <w:t xml:space="preserve"> paragraphs 32</w:t>
      </w:r>
      <w:r w:rsidRPr="00520B8F">
        <w:rPr>
          <w:rFonts w:ascii="Times New Roman" w:hAnsi="Times New Roman" w:cs="Times New Roman"/>
        </w:rPr>
        <w:t xml:space="preserve"> </w:t>
      </w:r>
      <w:r w:rsidR="001E45B2" w:rsidRPr="00520B8F">
        <w:rPr>
          <w:rFonts w:ascii="Times New Roman" w:hAnsi="Times New Roman" w:cs="Times New Roman"/>
        </w:rPr>
        <w:t>to</w:t>
      </w:r>
      <w:r w:rsidR="00192FC1" w:rsidRPr="00520B8F">
        <w:rPr>
          <w:rFonts w:ascii="Times New Roman" w:hAnsi="Times New Roman" w:cs="Times New Roman"/>
        </w:rPr>
        <w:t xml:space="preserve"> 37</w:t>
      </w:r>
      <w:r w:rsidRPr="00520B8F">
        <w:rPr>
          <w:rFonts w:ascii="Times New Roman" w:hAnsi="Times New Roman" w:cs="Times New Roman"/>
        </w:rPr>
        <w:t xml:space="preserve"> of the Government's opinion, information and statistical information are given about a </w:t>
      </w:r>
      <w:r w:rsidR="00875AF4" w:rsidRPr="00520B8F">
        <w:rPr>
          <w:rFonts w:ascii="Times New Roman" w:hAnsi="Times New Roman" w:cs="Times New Roman"/>
        </w:rPr>
        <w:t>notification</w:t>
      </w:r>
      <w:r w:rsidRPr="00520B8F">
        <w:rPr>
          <w:rFonts w:ascii="Times New Roman" w:hAnsi="Times New Roman" w:cs="Times New Roman"/>
        </w:rPr>
        <w:t xml:space="preserve"> issued in order to ensure coordination regarding the intensive care and neonatal units and the functioning of these units. However, the information provided does not show that the deficiencies and problems related to intensive care and neonatal units have disappeared</w:t>
      </w:r>
      <w:r w:rsidR="00875AF4" w:rsidRPr="00520B8F">
        <w:rPr>
          <w:rFonts w:ascii="Times New Roman" w:hAnsi="Times New Roman" w:cs="Times New Roman"/>
        </w:rPr>
        <w:t>. It has been shown in a MD</w:t>
      </w:r>
      <w:r w:rsidRPr="00520B8F">
        <w:rPr>
          <w:rFonts w:ascii="Times New Roman" w:hAnsi="Times New Roman" w:cs="Times New Roman"/>
        </w:rPr>
        <w:t xml:space="preserve"> thesis accepted in 2020 that emergency service applications are not taken into account in the structuring of intensive care services, and </w:t>
      </w:r>
      <w:r w:rsidRPr="00520B8F">
        <w:rPr>
          <w:rFonts w:ascii="Times New Roman" w:hAnsi="Times New Roman" w:cs="Times New Roman"/>
        </w:rPr>
        <w:lastRenderedPageBreak/>
        <w:t>therefore there are structural inadequacies related to intensive care services.</w:t>
      </w:r>
      <w:r w:rsidRPr="00520B8F">
        <w:rPr>
          <w:rStyle w:val="DipnotBavurusu"/>
          <w:rFonts w:ascii="Times New Roman" w:hAnsi="Times New Roman" w:cs="Times New Roman"/>
        </w:rPr>
        <w:footnoteReference w:id="12"/>
      </w:r>
      <w:r w:rsidR="00875AF4" w:rsidRPr="00520B8F">
        <w:rPr>
          <w:rFonts w:ascii="Times New Roman" w:hAnsi="Times New Roman" w:cs="Times New Roman"/>
        </w:rPr>
        <w:t xml:space="preserve"> In the conclusion part of the aforementioned study, the following is stated about the sample hospital examined: “…It was observed that the Neurosurgery Intensive Care Unit is inadequate due to the fact that it is the 2</w:t>
      </w:r>
      <w:r w:rsidR="00875AF4" w:rsidRPr="00520B8F">
        <w:rPr>
          <w:rFonts w:ascii="Times New Roman" w:hAnsi="Times New Roman" w:cs="Times New Roman"/>
          <w:vertAlign w:val="superscript"/>
        </w:rPr>
        <w:t>nd</w:t>
      </w:r>
      <w:r w:rsidR="00875AF4" w:rsidRPr="00520B8F">
        <w:rPr>
          <w:rFonts w:ascii="Times New Roman" w:hAnsi="Times New Roman" w:cs="Times New Roman"/>
        </w:rPr>
        <w:t xml:space="preserve"> level intensive care unit, and the patients related to its own branch are mostly followed and treated in the 3</w:t>
      </w:r>
      <w:r w:rsidR="00875AF4" w:rsidRPr="00520B8F">
        <w:rPr>
          <w:rFonts w:ascii="Times New Roman" w:hAnsi="Times New Roman" w:cs="Times New Roman"/>
          <w:vertAlign w:val="superscript"/>
        </w:rPr>
        <w:t>rd</w:t>
      </w:r>
      <w:r w:rsidR="00875AF4" w:rsidRPr="00520B8F">
        <w:rPr>
          <w:rFonts w:ascii="Times New Roman" w:hAnsi="Times New Roman" w:cs="Times New Roman"/>
        </w:rPr>
        <w:t xml:space="preserve"> level intensive care units. …It was observed that both the level of the unit and the number of beds in the Chest Diseases Intensive Care Unit were insufficient and could not respond to the increasing critical patient load with emergency service applications. The number of beds in the Neurology Intensive Care Unit was found to be insufficient…”</w:t>
      </w:r>
      <w:r w:rsidR="00875AF4" w:rsidRPr="00520B8F">
        <w:rPr>
          <w:rStyle w:val="DipnotBavurusu"/>
          <w:rFonts w:ascii="Times New Roman" w:hAnsi="Times New Roman" w:cs="Times New Roman"/>
        </w:rPr>
        <w:footnoteReference w:id="13"/>
      </w:r>
      <w:r w:rsidR="00BE2293" w:rsidRPr="00520B8F">
        <w:rPr>
          <w:rFonts w:ascii="Times New Roman" w:hAnsi="Times New Roman" w:cs="Times New Roman"/>
        </w:rPr>
        <w:t xml:space="preserve"> On the other hand, information on the geographical distribution of neonatal intensive care units is lacking. In general, it can be said that the problems related to access to health services are also valid for neonatal intensive care units. It is thought that coordination problems related to intensive care and newborn health services cannot be solved due to lack of capacity.</w:t>
      </w:r>
    </w:p>
    <w:p w14:paraId="5D52DD36" w14:textId="77777777" w:rsidR="00117179" w:rsidRPr="00520B8F" w:rsidRDefault="00117179" w:rsidP="009124AD">
      <w:pPr>
        <w:jc w:val="both"/>
        <w:rPr>
          <w:rFonts w:ascii="Times New Roman" w:hAnsi="Times New Roman" w:cs="Times New Roman"/>
        </w:rPr>
      </w:pPr>
    </w:p>
    <w:p w14:paraId="67A6035C" w14:textId="173D65BD" w:rsidR="00117179" w:rsidRPr="00520B8F" w:rsidRDefault="00117179" w:rsidP="009124AD">
      <w:pPr>
        <w:ind w:left="720"/>
        <w:jc w:val="both"/>
        <w:outlineLvl w:val="0"/>
        <w:rPr>
          <w:rFonts w:ascii="Times New Roman" w:hAnsi="Times New Roman" w:cs="Times New Roman"/>
          <w:b/>
        </w:rPr>
      </w:pPr>
      <w:r w:rsidRPr="00520B8F">
        <w:rPr>
          <w:rFonts w:ascii="Times New Roman" w:hAnsi="Times New Roman" w:cs="Times New Roman"/>
          <w:b/>
        </w:rPr>
        <w:t xml:space="preserve">2.1.3. The admission of patients in critical medical condition to hospitals and/or to provide medical treatment without pre-pay hospital fees </w:t>
      </w:r>
    </w:p>
    <w:p w14:paraId="767A6304" w14:textId="77777777" w:rsidR="00BE2293" w:rsidRPr="00520B8F" w:rsidRDefault="00BE2293" w:rsidP="009124AD">
      <w:pPr>
        <w:jc w:val="both"/>
        <w:rPr>
          <w:rFonts w:ascii="Times New Roman" w:hAnsi="Times New Roman" w:cs="Times New Roman"/>
        </w:rPr>
      </w:pPr>
    </w:p>
    <w:p w14:paraId="50358424" w14:textId="658393AF" w:rsidR="00BE2293" w:rsidRPr="00520B8F" w:rsidRDefault="00BE2293" w:rsidP="009124AD">
      <w:pPr>
        <w:jc w:val="both"/>
        <w:rPr>
          <w:rFonts w:ascii="Times New Roman" w:hAnsi="Times New Roman" w:cs="Times New Roman"/>
        </w:rPr>
      </w:pPr>
      <w:r w:rsidRPr="00520B8F">
        <w:rPr>
          <w:rFonts w:ascii="Times New Roman" w:hAnsi="Times New Roman" w:cs="Times New Roman"/>
        </w:rPr>
        <w:t>12.</w:t>
      </w:r>
      <w:r w:rsidR="00492145" w:rsidRPr="00520B8F">
        <w:rPr>
          <w:rFonts w:ascii="Times New Roman" w:hAnsi="Times New Roman" w:cs="Times New Roman"/>
        </w:rPr>
        <w:t xml:space="preserve"> In Mehmet </w:t>
      </w:r>
      <w:proofErr w:type="spellStart"/>
      <w:r w:rsidR="00492145" w:rsidRPr="00520B8F">
        <w:rPr>
          <w:rFonts w:ascii="Times New Roman" w:hAnsi="Times New Roman" w:cs="Times New Roman"/>
        </w:rPr>
        <w:t>Şentürk</w:t>
      </w:r>
      <w:proofErr w:type="spellEnd"/>
      <w:r w:rsidR="00492145" w:rsidRPr="00520B8F">
        <w:rPr>
          <w:rFonts w:ascii="Times New Roman" w:hAnsi="Times New Roman" w:cs="Times New Roman"/>
        </w:rPr>
        <w:t xml:space="preserve"> and </w:t>
      </w:r>
      <w:proofErr w:type="spellStart"/>
      <w:r w:rsidR="00492145" w:rsidRPr="00520B8F">
        <w:rPr>
          <w:rFonts w:ascii="Times New Roman" w:hAnsi="Times New Roman" w:cs="Times New Roman"/>
        </w:rPr>
        <w:t>Bekir</w:t>
      </w:r>
      <w:proofErr w:type="spellEnd"/>
      <w:r w:rsidR="00492145" w:rsidRPr="00520B8F">
        <w:rPr>
          <w:rFonts w:ascii="Times New Roman" w:hAnsi="Times New Roman" w:cs="Times New Roman"/>
        </w:rPr>
        <w:t xml:space="preserve"> </w:t>
      </w:r>
      <w:proofErr w:type="spellStart"/>
      <w:r w:rsidR="00492145" w:rsidRPr="00520B8F">
        <w:rPr>
          <w:rFonts w:ascii="Times New Roman" w:hAnsi="Times New Roman" w:cs="Times New Roman"/>
        </w:rPr>
        <w:t>Şentürk</w:t>
      </w:r>
      <w:proofErr w:type="spellEnd"/>
      <w:r w:rsidR="00492145" w:rsidRPr="00520B8F">
        <w:rPr>
          <w:rFonts w:ascii="Times New Roman" w:hAnsi="Times New Roman" w:cs="Times New Roman"/>
        </w:rPr>
        <w:t xml:space="preserve"> </w:t>
      </w:r>
      <w:proofErr w:type="spellStart"/>
      <w:r w:rsidR="00492145" w:rsidRPr="00520B8F">
        <w:rPr>
          <w:rFonts w:ascii="Times New Roman" w:hAnsi="Times New Roman" w:cs="Times New Roman"/>
        </w:rPr>
        <w:t>judgement</w:t>
      </w:r>
      <w:proofErr w:type="spellEnd"/>
      <w:r w:rsidR="00492145" w:rsidRPr="00520B8F">
        <w:rPr>
          <w:rFonts w:ascii="Times New Roman" w:hAnsi="Times New Roman" w:cs="Times New Roman"/>
        </w:rPr>
        <w:t>, European Court of Human Rights considered refusal to admit patients in critical medical condition to hospitals and to provide medical treatment because of the patient’s inability to pre-pay hospital fees as a violation of Article 2.</w:t>
      </w:r>
      <w:r w:rsidRPr="00520B8F">
        <w:rPr>
          <w:rFonts w:ascii="Times New Roman" w:hAnsi="Times New Roman" w:cs="Times New Roman"/>
        </w:rPr>
        <w:t xml:space="preserve"> </w:t>
      </w:r>
      <w:r w:rsidR="001E45B2" w:rsidRPr="00520B8F">
        <w:rPr>
          <w:rFonts w:ascii="Times New Roman" w:hAnsi="Times New Roman" w:cs="Times New Roman"/>
        </w:rPr>
        <w:t>In</w:t>
      </w:r>
      <w:r w:rsidR="00933EA5" w:rsidRPr="00520B8F">
        <w:rPr>
          <w:rFonts w:ascii="Times New Roman" w:hAnsi="Times New Roman" w:cs="Times New Roman"/>
        </w:rPr>
        <w:t xml:space="preserve"> paragraphs 38</w:t>
      </w:r>
      <w:r w:rsidR="00590E8B" w:rsidRPr="00520B8F">
        <w:rPr>
          <w:rFonts w:ascii="Times New Roman" w:hAnsi="Times New Roman" w:cs="Times New Roman"/>
        </w:rPr>
        <w:t xml:space="preserve"> </w:t>
      </w:r>
      <w:r w:rsidR="001E45B2" w:rsidRPr="00520B8F">
        <w:rPr>
          <w:rFonts w:ascii="Times New Roman" w:hAnsi="Times New Roman" w:cs="Times New Roman"/>
        </w:rPr>
        <w:t>to</w:t>
      </w:r>
      <w:r w:rsidR="00933EA5" w:rsidRPr="00520B8F">
        <w:rPr>
          <w:rFonts w:ascii="Times New Roman" w:hAnsi="Times New Roman" w:cs="Times New Roman"/>
        </w:rPr>
        <w:t xml:space="preserve"> 47</w:t>
      </w:r>
      <w:r w:rsidR="00590E8B" w:rsidRPr="00520B8F">
        <w:rPr>
          <w:rFonts w:ascii="Times New Roman" w:hAnsi="Times New Roman" w:cs="Times New Roman"/>
        </w:rPr>
        <w:t xml:space="preserve"> of the Government's opinion, it was reported that the charge for benefiting from emergency health services was abolished, patient rights units were established and therefore no further measures were required. </w:t>
      </w:r>
      <w:r w:rsidR="00932907" w:rsidRPr="00520B8F">
        <w:rPr>
          <w:rFonts w:ascii="Times New Roman" w:hAnsi="Times New Roman" w:cs="Times New Roman"/>
        </w:rPr>
        <w:t>However, p</w:t>
      </w:r>
      <w:r w:rsidR="00590E8B" w:rsidRPr="00520B8F">
        <w:rPr>
          <w:rFonts w:ascii="Times New Roman" w:hAnsi="Times New Roman" w:cs="Times New Roman"/>
        </w:rPr>
        <w:t>roblems regarding the use of emergency health services continue. Increasing the Efficiency of Health Services and Financial Sustainability Special Specialization Commission Report</w:t>
      </w:r>
      <w:r w:rsidR="003D34D0" w:rsidRPr="00520B8F">
        <w:rPr>
          <w:rFonts w:ascii="Times New Roman" w:hAnsi="Times New Roman" w:cs="Times New Roman"/>
        </w:rPr>
        <w:t xml:space="preserve"> states that </w:t>
      </w:r>
      <w:r w:rsidR="003D34D0" w:rsidRPr="00520B8F">
        <w:rPr>
          <w:rFonts w:ascii="Times New Roman" w:hAnsi="Times New Roman" w:cs="Times New Roman"/>
          <w:i/>
          <w:iCs/>
        </w:rPr>
        <w:t>“</w:t>
      </w:r>
      <w:proofErr w:type="gramStart"/>
      <w:r w:rsidR="003D34D0" w:rsidRPr="00520B8F">
        <w:rPr>
          <w:rFonts w:ascii="Times New Roman" w:hAnsi="Times New Roman" w:cs="Times New Roman"/>
          <w:i/>
          <w:iCs/>
        </w:rPr>
        <w:t>…[</w:t>
      </w:r>
      <w:proofErr w:type="gramEnd"/>
      <w:r w:rsidR="003D34D0" w:rsidRPr="00520B8F">
        <w:rPr>
          <w:rFonts w:ascii="Times New Roman" w:hAnsi="Times New Roman" w:cs="Times New Roman"/>
          <w:i/>
          <w:iCs/>
        </w:rPr>
        <w:t>t]he level of awareness in the society about what emergency health services are and which health conditions are urgent is unsatisfactory. Even in non-emergency situations, individuals unconsciously continue to use the units where emergency health services are currently provided, with the belief that access to health services is easy or that they will not pay contributions or fees. First aid training of health personnel who are assigned to provide emergency health services is not effective. Current legislation on emergency health services and organizations is insufficient.</w:t>
      </w:r>
      <w:r w:rsidR="003D34D0" w:rsidRPr="00520B8F">
        <w:rPr>
          <w:rFonts w:ascii="Times New Roman" w:hAnsi="Times New Roman" w:cs="Times New Roman"/>
        </w:rPr>
        <w:t>”</w:t>
      </w:r>
      <w:r w:rsidR="003D34D0" w:rsidRPr="00520B8F">
        <w:rPr>
          <w:rStyle w:val="DipnotBavurusu"/>
          <w:rFonts w:ascii="Times New Roman" w:hAnsi="Times New Roman" w:cs="Times New Roman"/>
        </w:rPr>
        <w:footnoteReference w:id="14"/>
      </w:r>
      <w:r w:rsidR="003D34D0" w:rsidRPr="00520B8F">
        <w:rPr>
          <w:rFonts w:ascii="Times New Roman" w:hAnsi="Times New Roman" w:cs="Times New Roman"/>
        </w:rPr>
        <w:t xml:space="preserve"> After the publication of the report, no legislation has been developed or comprehensive practices have not been implemented to solve the mentioned problems.</w:t>
      </w:r>
    </w:p>
    <w:p w14:paraId="288339A6" w14:textId="77777777" w:rsidR="003D34D0" w:rsidRPr="00520B8F" w:rsidRDefault="003D34D0" w:rsidP="009124AD">
      <w:pPr>
        <w:jc w:val="both"/>
        <w:rPr>
          <w:rFonts w:ascii="Times New Roman" w:hAnsi="Times New Roman" w:cs="Times New Roman"/>
        </w:rPr>
      </w:pPr>
    </w:p>
    <w:p w14:paraId="4D476135" w14:textId="668B92F6" w:rsidR="003D34D0" w:rsidRPr="00520B8F" w:rsidRDefault="003D34D0" w:rsidP="009124AD">
      <w:pPr>
        <w:jc w:val="both"/>
        <w:rPr>
          <w:rFonts w:ascii="Times New Roman" w:hAnsi="Times New Roman" w:cs="Times New Roman"/>
        </w:rPr>
      </w:pPr>
      <w:r w:rsidRPr="00520B8F">
        <w:rPr>
          <w:rFonts w:ascii="Times New Roman" w:hAnsi="Times New Roman" w:cs="Times New Roman"/>
        </w:rPr>
        <w:t xml:space="preserve">13. </w:t>
      </w:r>
      <w:r w:rsidR="00D67C5D" w:rsidRPr="00520B8F">
        <w:rPr>
          <w:rFonts w:ascii="Times New Roman" w:hAnsi="Times New Roman" w:cs="Times New Roman"/>
        </w:rPr>
        <w:t xml:space="preserve">On the other hand, if a health service is not evaluated as an emergency, the cost must be paid by the </w:t>
      </w:r>
      <w:r w:rsidR="00112AE3" w:rsidRPr="00520B8F">
        <w:rPr>
          <w:rFonts w:ascii="Times New Roman" w:hAnsi="Times New Roman" w:cs="Times New Roman"/>
        </w:rPr>
        <w:t>beneficiary</w:t>
      </w:r>
      <w:r w:rsidR="00D67C5D" w:rsidRPr="00520B8F">
        <w:rPr>
          <w:rFonts w:ascii="Times New Roman" w:hAnsi="Times New Roman" w:cs="Times New Roman"/>
        </w:rPr>
        <w:t>. Persons who can benefit from health services free of charge are specified in Article 60/c-1 of Law No. 5510 as follows:</w:t>
      </w:r>
      <w:r w:rsidR="00112AE3" w:rsidRPr="00520B8F">
        <w:rPr>
          <w:rFonts w:ascii="Times New Roman" w:hAnsi="Times New Roman" w:cs="Times New Roman"/>
        </w:rPr>
        <w:t xml:space="preserve"> “</w:t>
      </w:r>
      <w:r w:rsidR="00112AE3" w:rsidRPr="00520B8F">
        <w:rPr>
          <w:rFonts w:ascii="Times New Roman" w:hAnsi="Times New Roman" w:cs="Times New Roman"/>
          <w:i/>
          <w:iCs/>
        </w:rPr>
        <w:t>Citizens whose monthly income per person is less than one-third of the minimum wage can benefit from health services. The income is determined by the Institution, using test methods and data, taking into account their expenditures, movable and immovable properties and their rights arising therefrom.”</w:t>
      </w:r>
      <w:r w:rsidR="00112AE3" w:rsidRPr="00520B8F">
        <w:rPr>
          <w:rFonts w:ascii="Times New Roman" w:hAnsi="Times New Roman" w:cs="Times New Roman"/>
        </w:rPr>
        <w:t xml:space="preserve"> Accordingly, for the year 2021, people with a monthly income of more than 1.192.33 TL</w:t>
      </w:r>
      <w:r w:rsidR="00112AE3" w:rsidRPr="00520B8F">
        <w:rPr>
          <w:rStyle w:val="DipnotBavurusu"/>
          <w:rFonts w:ascii="Times New Roman" w:hAnsi="Times New Roman" w:cs="Times New Roman"/>
        </w:rPr>
        <w:footnoteReference w:id="15"/>
      </w:r>
      <w:r w:rsidR="00112AE3" w:rsidRPr="00520B8F">
        <w:rPr>
          <w:rFonts w:ascii="Times New Roman" w:hAnsi="Times New Roman" w:cs="Times New Roman"/>
        </w:rPr>
        <w:t xml:space="preserve"> </w:t>
      </w:r>
      <w:r w:rsidR="00112AE3" w:rsidRPr="00520B8F">
        <w:rPr>
          <w:rFonts w:ascii="Times New Roman" w:hAnsi="Times New Roman" w:cs="Times New Roman"/>
        </w:rPr>
        <w:lastRenderedPageBreak/>
        <w:t xml:space="preserve">can benefit from health services by paying a premium. This regulation severely limits the number of people who can benefit from health services free of charge. According to Article 67 of the Law No. 5510, people who can benefit from health services have </w:t>
      </w:r>
      <w:r w:rsidR="00002B43" w:rsidRPr="00520B8F">
        <w:rPr>
          <w:rFonts w:ascii="Times New Roman" w:hAnsi="Times New Roman" w:cs="Times New Roman"/>
        </w:rPr>
        <w:t xml:space="preserve">provide the following conditions: </w:t>
      </w:r>
      <w:r w:rsidR="00112AE3" w:rsidRPr="00520B8F">
        <w:rPr>
          <w:rFonts w:ascii="Times New Roman" w:hAnsi="Times New Roman" w:cs="Times New Roman"/>
        </w:rPr>
        <w:t xml:space="preserve">“…a) General health insurance holders and their dependents, except for subparagraphs (c) and (f) of the first paragraph of Article 60 and the twelfth, thirteenth and fourteenth paragraphs of the same article, </w:t>
      </w:r>
      <w:r w:rsidR="00002B43" w:rsidRPr="00520B8F">
        <w:rPr>
          <w:rFonts w:ascii="Times New Roman" w:hAnsi="Times New Roman" w:cs="Times New Roman"/>
        </w:rPr>
        <w:t>must have</w:t>
      </w:r>
      <w:r w:rsidR="00112AE3" w:rsidRPr="00520B8F">
        <w:rPr>
          <w:rFonts w:ascii="Times New Roman" w:hAnsi="Times New Roman" w:cs="Times New Roman"/>
        </w:rPr>
        <w:t xml:space="preserve"> a total of 30 days of general health insurance premium payment days in the last one year before the date of application</w:t>
      </w:r>
      <w:r w:rsidR="00002B43" w:rsidRPr="00520B8F">
        <w:rPr>
          <w:rFonts w:ascii="Times New Roman" w:hAnsi="Times New Roman" w:cs="Times New Roman"/>
        </w:rPr>
        <w:t xml:space="preserve"> to the health service provider,</w:t>
      </w:r>
      <w:r w:rsidR="00112AE3" w:rsidRPr="00520B8F">
        <w:rPr>
          <w:rFonts w:ascii="Times New Roman" w:hAnsi="Times New Roman" w:cs="Times New Roman"/>
        </w:rPr>
        <w:t xml:space="preserve"> (3) b) </w:t>
      </w:r>
      <w:r w:rsidR="00002B43" w:rsidRPr="00520B8F">
        <w:rPr>
          <w:rFonts w:ascii="Times New Roman" w:hAnsi="Times New Roman" w:cs="Times New Roman"/>
        </w:rPr>
        <w:t>General</w:t>
      </w:r>
      <w:r w:rsidR="00112AE3" w:rsidRPr="00520B8F">
        <w:rPr>
          <w:rFonts w:ascii="Times New Roman" w:hAnsi="Times New Roman" w:cs="Times New Roman"/>
        </w:rPr>
        <w:t xml:space="preserve"> health insurance holder</w:t>
      </w:r>
      <w:r w:rsidR="00002B43" w:rsidRPr="00520B8F">
        <w:rPr>
          <w:rFonts w:ascii="Times New Roman" w:hAnsi="Times New Roman" w:cs="Times New Roman"/>
        </w:rPr>
        <w:t>s and their dependents</w:t>
      </w:r>
      <w:r w:rsidR="00112AE3" w:rsidRPr="00520B8F">
        <w:rPr>
          <w:rFonts w:ascii="Times New Roman" w:hAnsi="Times New Roman" w:cs="Times New Roman"/>
        </w:rPr>
        <w:t xml:space="preserve"> subject to sub-clause (2) and sub-clause (g) of clause (a) of the first paragraph of Article </w:t>
      </w:r>
      <w:r w:rsidR="00002B43" w:rsidRPr="00520B8F">
        <w:rPr>
          <w:rFonts w:ascii="Times New Roman" w:hAnsi="Times New Roman" w:cs="Times New Roman"/>
        </w:rPr>
        <w:t>60, and a</w:t>
      </w:r>
      <w:r w:rsidR="00112AE3" w:rsidRPr="00520B8F">
        <w:rPr>
          <w:rFonts w:ascii="Times New Roman" w:hAnsi="Times New Roman" w:cs="Times New Roman"/>
        </w:rPr>
        <w:t xml:space="preserve">long with the condition listed in the above paragraph, </w:t>
      </w:r>
      <w:r w:rsidR="00002B43" w:rsidRPr="00520B8F">
        <w:rPr>
          <w:rFonts w:ascii="Times New Roman" w:hAnsi="Times New Roman" w:cs="Times New Roman"/>
        </w:rPr>
        <w:t>must have no debt of any kind</w:t>
      </w:r>
      <w:r w:rsidR="000443F5" w:rsidRPr="00520B8F">
        <w:rPr>
          <w:rFonts w:ascii="Times New Roman" w:hAnsi="Times New Roman" w:cs="Times New Roman"/>
        </w:rPr>
        <w:t xml:space="preserve"> for more than 60 days</w:t>
      </w:r>
      <w:r w:rsidR="00002B43" w:rsidRPr="00520B8F">
        <w:rPr>
          <w:rFonts w:ascii="Times New Roman" w:hAnsi="Times New Roman" w:cs="Times New Roman"/>
        </w:rPr>
        <w:t xml:space="preserve"> </w:t>
      </w:r>
      <w:r w:rsidR="00112AE3" w:rsidRPr="00520B8F">
        <w:rPr>
          <w:rFonts w:ascii="Times New Roman" w:hAnsi="Times New Roman" w:cs="Times New Roman"/>
        </w:rPr>
        <w:t xml:space="preserve">on the date of application to the health service provider, in accordance with Article 48 of the Law on Collection of Public Claims No. 6183, dated </w:t>
      </w:r>
      <w:r w:rsidR="001E45B2" w:rsidRPr="00520B8F">
        <w:rPr>
          <w:rFonts w:ascii="Times New Roman" w:hAnsi="Times New Roman" w:cs="Times New Roman"/>
        </w:rPr>
        <w:t>July 21</w:t>
      </w:r>
      <w:r w:rsidR="001E45B2" w:rsidRPr="00520B8F">
        <w:rPr>
          <w:rFonts w:ascii="Times New Roman" w:hAnsi="Times New Roman" w:cs="Times New Roman"/>
          <w:vertAlign w:val="superscript"/>
        </w:rPr>
        <w:t>st</w:t>
      </w:r>
      <w:r w:rsidR="001E45B2" w:rsidRPr="00520B8F">
        <w:rPr>
          <w:rFonts w:ascii="Times New Roman" w:hAnsi="Times New Roman" w:cs="Times New Roman"/>
        </w:rPr>
        <w:t xml:space="preserve">, </w:t>
      </w:r>
      <w:r w:rsidR="00112AE3" w:rsidRPr="00520B8F">
        <w:rPr>
          <w:rFonts w:ascii="Times New Roman" w:hAnsi="Times New Roman" w:cs="Times New Roman"/>
        </w:rPr>
        <w:t xml:space="preserve">1953, except for those whose postponement and installments continue, (4) c) </w:t>
      </w:r>
      <w:r w:rsidR="000443F5" w:rsidRPr="00520B8F">
        <w:rPr>
          <w:rFonts w:ascii="Times New Roman" w:hAnsi="Times New Roman" w:cs="Times New Roman"/>
        </w:rPr>
        <w:t>General health insurance holders and their dependents s</w:t>
      </w:r>
      <w:r w:rsidR="00112AE3" w:rsidRPr="00520B8F">
        <w:rPr>
          <w:rFonts w:ascii="Times New Roman" w:hAnsi="Times New Roman" w:cs="Times New Roman"/>
        </w:rPr>
        <w:t>ubject to subparagraphs (b) and (d) of the first paragraph of Article 60, must not have any premiums and all kinds of debts related to the premium at the time of application to the health service provider, together with the condition listed in the above paragraphs.</w:t>
      </w:r>
      <w:r w:rsidR="00B33CAD" w:rsidRPr="00520B8F">
        <w:rPr>
          <w:rFonts w:ascii="Times New Roman" w:hAnsi="Times New Roman" w:cs="Times New Roman"/>
        </w:rPr>
        <w:t>”</w:t>
      </w:r>
      <w:r w:rsidR="000443F5" w:rsidRPr="00520B8F">
        <w:rPr>
          <w:rFonts w:ascii="Times New Roman" w:hAnsi="Times New Roman" w:cs="Times New Roman"/>
        </w:rPr>
        <w:t xml:space="preserve"> It is not possible for people with premium debt to benefit from non-emergency health services. Despite the existence of general health insurance, ho</w:t>
      </w:r>
      <w:r w:rsidR="00B33CAD" w:rsidRPr="00520B8F">
        <w:rPr>
          <w:rFonts w:ascii="Times New Roman" w:hAnsi="Times New Roman" w:cs="Times New Roman"/>
        </w:rPr>
        <w:t>usehold health expenditures increase</w:t>
      </w:r>
      <w:r w:rsidR="000443F5" w:rsidRPr="00520B8F">
        <w:rPr>
          <w:rFonts w:ascii="Times New Roman" w:hAnsi="Times New Roman" w:cs="Times New Roman"/>
        </w:rPr>
        <w:t>.</w:t>
      </w:r>
      <w:r w:rsidR="000443F5" w:rsidRPr="00520B8F">
        <w:rPr>
          <w:rStyle w:val="DipnotBavurusu"/>
          <w:rFonts w:ascii="Times New Roman" w:hAnsi="Times New Roman" w:cs="Times New Roman"/>
        </w:rPr>
        <w:footnoteReference w:id="16"/>
      </w:r>
    </w:p>
    <w:p w14:paraId="7E4943E2" w14:textId="77777777" w:rsidR="00117179" w:rsidRPr="00520B8F" w:rsidRDefault="00117179" w:rsidP="009124AD">
      <w:pPr>
        <w:jc w:val="both"/>
        <w:rPr>
          <w:rFonts w:ascii="Times New Roman" w:hAnsi="Times New Roman" w:cs="Times New Roman"/>
        </w:rPr>
      </w:pPr>
    </w:p>
    <w:p w14:paraId="2CA0928C" w14:textId="7C3433D2" w:rsidR="00117179" w:rsidRPr="00520B8F" w:rsidRDefault="00117179" w:rsidP="009124AD">
      <w:pPr>
        <w:ind w:left="720"/>
        <w:jc w:val="both"/>
        <w:outlineLvl w:val="0"/>
        <w:rPr>
          <w:rFonts w:ascii="Times New Roman" w:hAnsi="Times New Roman" w:cs="Times New Roman"/>
          <w:b/>
        </w:rPr>
      </w:pPr>
      <w:r w:rsidRPr="00520B8F">
        <w:rPr>
          <w:rFonts w:ascii="Times New Roman" w:hAnsi="Times New Roman" w:cs="Times New Roman"/>
          <w:b/>
        </w:rPr>
        <w:t xml:space="preserve">2.1.4. The lack of coordination between hospitals and the lack of medical assistance during the transfer of patients </w:t>
      </w:r>
    </w:p>
    <w:p w14:paraId="30425945" w14:textId="77777777" w:rsidR="006962CD" w:rsidRPr="00520B8F" w:rsidRDefault="006962CD" w:rsidP="009124AD">
      <w:pPr>
        <w:jc w:val="both"/>
        <w:rPr>
          <w:rFonts w:ascii="Times New Roman" w:hAnsi="Times New Roman" w:cs="Times New Roman"/>
        </w:rPr>
      </w:pPr>
    </w:p>
    <w:p w14:paraId="7C677B69" w14:textId="5C41A59C" w:rsidR="006962CD" w:rsidRPr="00520B8F" w:rsidRDefault="006962CD" w:rsidP="009124AD">
      <w:pPr>
        <w:jc w:val="both"/>
        <w:rPr>
          <w:rFonts w:ascii="Times New Roman" w:hAnsi="Times New Roman" w:cs="Times New Roman"/>
        </w:rPr>
      </w:pPr>
      <w:r w:rsidRPr="00520B8F">
        <w:rPr>
          <w:rFonts w:ascii="Times New Roman" w:hAnsi="Times New Roman" w:cs="Times New Roman"/>
        </w:rPr>
        <w:t xml:space="preserve">14. </w:t>
      </w:r>
      <w:r w:rsidR="001E45B2" w:rsidRPr="00520B8F">
        <w:rPr>
          <w:rFonts w:ascii="Times New Roman" w:hAnsi="Times New Roman" w:cs="Times New Roman"/>
        </w:rPr>
        <w:t>In</w:t>
      </w:r>
      <w:r w:rsidRPr="00520B8F">
        <w:rPr>
          <w:rFonts w:ascii="Times New Roman" w:hAnsi="Times New Roman" w:cs="Times New Roman"/>
        </w:rPr>
        <w:t xml:space="preserve"> </w:t>
      </w:r>
      <w:r w:rsidR="00933EA5" w:rsidRPr="00520B8F">
        <w:rPr>
          <w:rFonts w:ascii="Times New Roman" w:hAnsi="Times New Roman" w:cs="Times New Roman"/>
        </w:rPr>
        <w:t>paragraphs 48 to 58</w:t>
      </w:r>
      <w:r w:rsidR="00690214" w:rsidRPr="00520B8F">
        <w:rPr>
          <w:rFonts w:ascii="Times New Roman" w:hAnsi="Times New Roman" w:cs="Times New Roman"/>
        </w:rPr>
        <w:t xml:space="preserve"> </w:t>
      </w:r>
      <w:r w:rsidRPr="00520B8F">
        <w:rPr>
          <w:rFonts w:ascii="Times New Roman" w:hAnsi="Times New Roman" w:cs="Times New Roman"/>
        </w:rPr>
        <w:t>of the Government's opinion, developments regarding the solution of the problems related to the lack of coordination during patient transfers and the lack of medical personnel were mentioned. Although the statistical information given shows that there have been important developments, the problems still exist. Statistical data do not include information on the geographical distribution of equipment and personnel provided. It is clear that in cases where there are problems with access to health services in general, coordination problems and similar</w:t>
      </w:r>
      <w:r w:rsidR="00690214" w:rsidRPr="00520B8F">
        <w:rPr>
          <w:rFonts w:ascii="Times New Roman" w:hAnsi="Times New Roman" w:cs="Times New Roman"/>
        </w:rPr>
        <w:t>ly</w:t>
      </w:r>
      <w:r w:rsidRPr="00520B8F">
        <w:rPr>
          <w:rFonts w:ascii="Times New Roman" w:hAnsi="Times New Roman" w:cs="Times New Roman"/>
        </w:rPr>
        <w:t xml:space="preserve"> problems with personnel w</w:t>
      </w:r>
      <w:r w:rsidR="00690214" w:rsidRPr="00520B8F">
        <w:rPr>
          <w:rFonts w:ascii="Times New Roman" w:hAnsi="Times New Roman" w:cs="Times New Roman"/>
        </w:rPr>
        <w:t>ould</w:t>
      </w:r>
      <w:r w:rsidRPr="00520B8F">
        <w:rPr>
          <w:rFonts w:ascii="Times New Roman" w:hAnsi="Times New Roman" w:cs="Times New Roman"/>
        </w:rPr>
        <w:t xml:space="preserve"> occur in patient transfers. There is not enough data to make a more detailed assessment on this subject.</w:t>
      </w:r>
    </w:p>
    <w:p w14:paraId="3094CCB1" w14:textId="77777777" w:rsidR="00117179" w:rsidRPr="00520B8F" w:rsidRDefault="00117179" w:rsidP="009124AD">
      <w:pPr>
        <w:jc w:val="both"/>
        <w:rPr>
          <w:rFonts w:ascii="Times New Roman" w:hAnsi="Times New Roman" w:cs="Times New Roman"/>
        </w:rPr>
      </w:pPr>
    </w:p>
    <w:p w14:paraId="577D7C70" w14:textId="37F740B4" w:rsidR="00117179" w:rsidRPr="00520B8F" w:rsidRDefault="00117179" w:rsidP="009124AD">
      <w:pPr>
        <w:ind w:firstLine="720"/>
        <w:jc w:val="both"/>
        <w:outlineLvl w:val="0"/>
        <w:rPr>
          <w:rFonts w:ascii="Times New Roman" w:hAnsi="Times New Roman" w:cs="Times New Roman"/>
          <w:b/>
        </w:rPr>
      </w:pPr>
      <w:r w:rsidRPr="00520B8F">
        <w:rPr>
          <w:rFonts w:ascii="Times New Roman" w:hAnsi="Times New Roman" w:cs="Times New Roman"/>
          <w:b/>
        </w:rPr>
        <w:t xml:space="preserve">2.1.5. Developments in Blood Transfusion </w:t>
      </w:r>
    </w:p>
    <w:p w14:paraId="63FDAEBD" w14:textId="77777777" w:rsidR="00690214" w:rsidRPr="00520B8F" w:rsidRDefault="00690214" w:rsidP="009124AD">
      <w:pPr>
        <w:jc w:val="both"/>
        <w:rPr>
          <w:rFonts w:ascii="Times New Roman" w:hAnsi="Times New Roman" w:cs="Times New Roman"/>
        </w:rPr>
      </w:pPr>
    </w:p>
    <w:p w14:paraId="16257E86" w14:textId="529B557B" w:rsidR="00690214" w:rsidRPr="00520B8F" w:rsidRDefault="00690214" w:rsidP="009124AD">
      <w:pPr>
        <w:jc w:val="both"/>
        <w:rPr>
          <w:rFonts w:ascii="Times New Roman" w:hAnsi="Times New Roman" w:cs="Times New Roman"/>
        </w:rPr>
      </w:pPr>
      <w:r w:rsidRPr="00520B8F">
        <w:rPr>
          <w:rFonts w:ascii="Times New Roman" w:hAnsi="Times New Roman" w:cs="Times New Roman"/>
        </w:rPr>
        <w:t xml:space="preserve">15. </w:t>
      </w:r>
      <w:r w:rsidR="001E45B2" w:rsidRPr="00520B8F">
        <w:rPr>
          <w:rFonts w:ascii="Times New Roman" w:hAnsi="Times New Roman" w:cs="Times New Roman"/>
        </w:rPr>
        <w:t>In</w:t>
      </w:r>
      <w:r w:rsidR="00933EA5" w:rsidRPr="00520B8F">
        <w:rPr>
          <w:rFonts w:ascii="Times New Roman" w:hAnsi="Times New Roman" w:cs="Times New Roman"/>
        </w:rPr>
        <w:t xml:space="preserve"> paragraphs 59</w:t>
      </w:r>
      <w:r w:rsidRPr="00520B8F">
        <w:rPr>
          <w:rFonts w:ascii="Times New Roman" w:hAnsi="Times New Roman" w:cs="Times New Roman"/>
        </w:rPr>
        <w:t xml:space="preserve"> </w:t>
      </w:r>
      <w:r w:rsidR="001E45B2" w:rsidRPr="00520B8F">
        <w:rPr>
          <w:rFonts w:ascii="Times New Roman" w:hAnsi="Times New Roman" w:cs="Times New Roman"/>
        </w:rPr>
        <w:t>to</w:t>
      </w:r>
      <w:r w:rsidR="00565799" w:rsidRPr="00520B8F">
        <w:rPr>
          <w:rFonts w:ascii="Times New Roman" w:hAnsi="Times New Roman" w:cs="Times New Roman"/>
        </w:rPr>
        <w:t xml:space="preserve"> 79</w:t>
      </w:r>
      <w:r w:rsidRPr="00520B8F">
        <w:rPr>
          <w:rFonts w:ascii="Times New Roman" w:hAnsi="Times New Roman" w:cs="Times New Roman"/>
        </w:rPr>
        <w:t xml:space="preserve"> of the Government's opinion, developments in resolving the problems related to blood transfusions were mentioned. In the Government's opinion, data on persons infected with </w:t>
      </w:r>
      <w:r w:rsidR="000917C5" w:rsidRPr="00520B8F">
        <w:rPr>
          <w:rFonts w:ascii="Times New Roman" w:hAnsi="Times New Roman" w:cs="Times New Roman"/>
        </w:rPr>
        <w:t xml:space="preserve">HIV as a result of </w:t>
      </w:r>
      <w:r w:rsidRPr="00520B8F">
        <w:rPr>
          <w:rFonts w:ascii="Times New Roman" w:hAnsi="Times New Roman" w:cs="Times New Roman"/>
        </w:rPr>
        <w:t>blood transfusions were not shared. Between 1985 and 2018, the number of AIDS patients was 21,500. More than half of these patients were diagnosed in the last five years. It was determined that 7518 out of 21.500 patients became ill with infected blood transfusion</w:t>
      </w:r>
      <w:r w:rsidR="00175A2E" w:rsidRPr="00520B8F">
        <w:rPr>
          <w:rFonts w:ascii="Times New Roman" w:hAnsi="Times New Roman" w:cs="Times New Roman"/>
        </w:rPr>
        <w:t>s</w:t>
      </w:r>
      <w:r w:rsidRPr="00520B8F">
        <w:rPr>
          <w:rFonts w:ascii="Times New Roman" w:hAnsi="Times New Roman" w:cs="Times New Roman"/>
        </w:rPr>
        <w:t>. This number is quite high.</w:t>
      </w:r>
      <w:r w:rsidRPr="00520B8F">
        <w:rPr>
          <w:rStyle w:val="DipnotBavurusu"/>
          <w:rFonts w:ascii="Times New Roman" w:hAnsi="Times New Roman" w:cs="Times New Roman"/>
        </w:rPr>
        <w:footnoteReference w:id="17"/>
      </w:r>
      <w:r w:rsidRPr="00520B8F">
        <w:rPr>
          <w:rFonts w:ascii="Times New Roman" w:hAnsi="Times New Roman" w:cs="Times New Roman"/>
        </w:rPr>
        <w:t xml:space="preserve"> It is seen that the precautions regarding the transmission of the disease through blood transfusion are insufficient. In a </w:t>
      </w:r>
      <w:r w:rsidRPr="00520B8F">
        <w:rPr>
          <w:rFonts w:ascii="Times New Roman" w:hAnsi="Times New Roman" w:cs="Times New Roman"/>
        </w:rPr>
        <w:lastRenderedPageBreak/>
        <w:t>report published in 2021, it is stated that infected blood was provided by the Red Crescent and legal actions were initiated.</w:t>
      </w:r>
      <w:r w:rsidRPr="00520B8F">
        <w:rPr>
          <w:rStyle w:val="DipnotBavurusu"/>
          <w:rFonts w:ascii="Times New Roman" w:hAnsi="Times New Roman" w:cs="Times New Roman"/>
        </w:rPr>
        <w:footnoteReference w:id="18"/>
      </w:r>
    </w:p>
    <w:p w14:paraId="473C3B78" w14:textId="77777777" w:rsidR="00690214" w:rsidRPr="00520B8F" w:rsidRDefault="00690214" w:rsidP="009124AD">
      <w:pPr>
        <w:jc w:val="both"/>
        <w:rPr>
          <w:rFonts w:ascii="Times New Roman" w:hAnsi="Times New Roman" w:cs="Times New Roman"/>
        </w:rPr>
      </w:pPr>
    </w:p>
    <w:p w14:paraId="6CC239B7" w14:textId="13784233" w:rsidR="00690214" w:rsidRPr="00520B8F" w:rsidRDefault="00690214" w:rsidP="009124AD">
      <w:pPr>
        <w:jc w:val="both"/>
        <w:rPr>
          <w:rFonts w:ascii="Times New Roman" w:hAnsi="Times New Roman" w:cs="Times New Roman"/>
        </w:rPr>
      </w:pPr>
      <w:r w:rsidRPr="00520B8F">
        <w:rPr>
          <w:rFonts w:ascii="Times New Roman" w:hAnsi="Times New Roman" w:cs="Times New Roman"/>
        </w:rPr>
        <w:t xml:space="preserve">16. On the other hand, the problems related to AIDS patients are ignored. The legal legislation regarding the disease is insufficient and the current legislation does not observe </w:t>
      </w:r>
      <w:r w:rsidR="008E0FE5" w:rsidRPr="00520B8F">
        <w:rPr>
          <w:rFonts w:ascii="Times New Roman" w:hAnsi="Times New Roman" w:cs="Times New Roman"/>
        </w:rPr>
        <w:t xml:space="preserve">the rights of patients </w:t>
      </w:r>
      <w:r w:rsidRPr="00520B8F">
        <w:rPr>
          <w:rFonts w:ascii="Times New Roman" w:hAnsi="Times New Roman" w:cs="Times New Roman"/>
        </w:rPr>
        <w:t>or even violates the basic human rights of AIDS patients in many respects.</w:t>
      </w:r>
      <w:r w:rsidRPr="00520B8F">
        <w:rPr>
          <w:rStyle w:val="DipnotBavurusu"/>
          <w:rFonts w:ascii="Times New Roman" w:hAnsi="Times New Roman" w:cs="Times New Roman"/>
        </w:rPr>
        <w:footnoteReference w:id="19"/>
      </w:r>
    </w:p>
    <w:p w14:paraId="29C35DF6" w14:textId="77777777" w:rsidR="00117179" w:rsidRPr="00520B8F" w:rsidRDefault="00117179" w:rsidP="009124AD">
      <w:pPr>
        <w:jc w:val="both"/>
        <w:rPr>
          <w:rFonts w:ascii="Times New Roman" w:hAnsi="Times New Roman" w:cs="Times New Roman"/>
        </w:rPr>
      </w:pPr>
    </w:p>
    <w:p w14:paraId="42C92C0D" w14:textId="021700A0" w:rsidR="00117179" w:rsidRPr="00520B8F" w:rsidRDefault="00117179" w:rsidP="00756E86">
      <w:pPr>
        <w:ind w:left="720"/>
        <w:jc w:val="both"/>
        <w:outlineLvl w:val="0"/>
        <w:rPr>
          <w:rFonts w:ascii="Times New Roman" w:hAnsi="Times New Roman" w:cs="Times New Roman"/>
          <w:b/>
        </w:rPr>
      </w:pPr>
      <w:r w:rsidRPr="00520B8F">
        <w:rPr>
          <w:rFonts w:ascii="Times New Roman" w:hAnsi="Times New Roman" w:cs="Times New Roman"/>
          <w:b/>
        </w:rPr>
        <w:t>2.1.6. Failure to cover fully the medical expenses of patients who were infected</w:t>
      </w:r>
      <w:r w:rsidR="00756E86" w:rsidRPr="00520B8F">
        <w:rPr>
          <w:rFonts w:ascii="Times New Roman" w:hAnsi="Times New Roman" w:cs="Times New Roman"/>
          <w:b/>
        </w:rPr>
        <w:t xml:space="preserve"> </w:t>
      </w:r>
      <w:r w:rsidRPr="00520B8F">
        <w:rPr>
          <w:rFonts w:ascii="Times New Roman" w:hAnsi="Times New Roman" w:cs="Times New Roman"/>
          <w:b/>
        </w:rPr>
        <w:t xml:space="preserve">with the HIV virus </w:t>
      </w:r>
    </w:p>
    <w:p w14:paraId="7205EA2E" w14:textId="77777777" w:rsidR="00690214" w:rsidRPr="00520B8F" w:rsidRDefault="00690214" w:rsidP="009124AD">
      <w:pPr>
        <w:jc w:val="both"/>
        <w:rPr>
          <w:rFonts w:ascii="Times New Roman" w:hAnsi="Times New Roman" w:cs="Times New Roman"/>
        </w:rPr>
      </w:pPr>
    </w:p>
    <w:p w14:paraId="67F5EA35" w14:textId="1391C46E" w:rsidR="00690214" w:rsidRPr="00520B8F" w:rsidRDefault="00690214" w:rsidP="009124AD">
      <w:pPr>
        <w:jc w:val="both"/>
        <w:rPr>
          <w:rFonts w:ascii="Times New Roman" w:hAnsi="Times New Roman" w:cs="Times New Roman"/>
        </w:rPr>
      </w:pPr>
      <w:r w:rsidRPr="00520B8F">
        <w:rPr>
          <w:rFonts w:ascii="Times New Roman" w:hAnsi="Times New Roman" w:cs="Times New Roman"/>
        </w:rPr>
        <w:t xml:space="preserve">17. </w:t>
      </w:r>
      <w:r w:rsidR="001E45B2" w:rsidRPr="00520B8F">
        <w:rPr>
          <w:rFonts w:ascii="Times New Roman" w:hAnsi="Times New Roman" w:cs="Times New Roman"/>
        </w:rPr>
        <w:t xml:space="preserve">In </w:t>
      </w:r>
      <w:r w:rsidR="00565799" w:rsidRPr="00520B8F">
        <w:rPr>
          <w:rFonts w:ascii="Times New Roman" w:hAnsi="Times New Roman" w:cs="Times New Roman"/>
        </w:rPr>
        <w:t>paragraphs 80</w:t>
      </w:r>
      <w:r w:rsidRPr="00520B8F">
        <w:rPr>
          <w:rFonts w:ascii="Times New Roman" w:hAnsi="Times New Roman" w:cs="Times New Roman"/>
        </w:rPr>
        <w:t xml:space="preserve"> </w:t>
      </w:r>
      <w:r w:rsidR="001E45B2" w:rsidRPr="00520B8F">
        <w:rPr>
          <w:rFonts w:ascii="Times New Roman" w:hAnsi="Times New Roman" w:cs="Times New Roman"/>
        </w:rPr>
        <w:t>to</w:t>
      </w:r>
      <w:r w:rsidR="00565799" w:rsidRPr="00520B8F">
        <w:rPr>
          <w:rFonts w:ascii="Times New Roman" w:hAnsi="Times New Roman" w:cs="Times New Roman"/>
        </w:rPr>
        <w:t xml:space="preserve"> 85</w:t>
      </w:r>
      <w:r w:rsidRPr="00520B8F">
        <w:rPr>
          <w:rFonts w:ascii="Times New Roman" w:hAnsi="Times New Roman" w:cs="Times New Roman"/>
        </w:rPr>
        <w:t xml:space="preserve"> of the Government's opinion, it has been stated that the health expenditures of HIV-infected persons are covered by the Social Security Institution, as other diseases are. However, there is no specific legal regulation regarding HIV-infected persons. In addition, there are many problems in benefiting from the General Health Insurance. In addition to other problems, people who do not fulfill their obligation to pay premiums or who have premium debt do not have the legal right to benefit from health services except in emergencies.</w:t>
      </w:r>
      <w:r w:rsidRPr="00520B8F">
        <w:rPr>
          <w:rStyle w:val="DipnotBavurusu"/>
          <w:rFonts w:ascii="Times New Roman" w:hAnsi="Times New Roman" w:cs="Times New Roman"/>
        </w:rPr>
        <w:footnoteReference w:id="20"/>
      </w:r>
      <w:r w:rsidR="006351F6" w:rsidRPr="00520B8F">
        <w:rPr>
          <w:rFonts w:ascii="Times New Roman" w:hAnsi="Times New Roman" w:cs="Times New Roman"/>
        </w:rPr>
        <w:t xml:space="preserve"> In many scientific studies, it is recommended to have private insurance in addition to general health insurance, due to the insufficient general health insurance.</w:t>
      </w:r>
      <w:r w:rsidR="006351F6" w:rsidRPr="00520B8F">
        <w:rPr>
          <w:rStyle w:val="DipnotBavurusu"/>
          <w:rFonts w:ascii="Times New Roman" w:hAnsi="Times New Roman" w:cs="Times New Roman"/>
        </w:rPr>
        <w:footnoteReference w:id="21"/>
      </w:r>
      <w:r w:rsidR="006351F6" w:rsidRPr="00520B8F">
        <w:rPr>
          <w:rFonts w:ascii="Times New Roman" w:hAnsi="Times New Roman" w:cs="Times New Roman"/>
        </w:rPr>
        <w:t xml:space="preserve"> However, the situation of people who cannot afford to </w:t>
      </w:r>
      <w:r w:rsidR="009E4838" w:rsidRPr="00520B8F">
        <w:rPr>
          <w:rFonts w:ascii="Times New Roman" w:hAnsi="Times New Roman" w:cs="Times New Roman"/>
        </w:rPr>
        <w:t>have</w:t>
      </w:r>
      <w:r w:rsidR="006351F6" w:rsidRPr="00520B8F">
        <w:rPr>
          <w:rFonts w:ascii="Times New Roman" w:hAnsi="Times New Roman" w:cs="Times New Roman"/>
        </w:rPr>
        <w:t xml:space="preserve"> private health insurance is not evaluated in such studies. Large sections of the society do not have the economic capacity to have private health insurance. </w:t>
      </w:r>
      <w:r w:rsidR="00C147EA" w:rsidRPr="00520B8F">
        <w:rPr>
          <w:rFonts w:ascii="Times New Roman" w:hAnsi="Times New Roman" w:cs="Times New Roman"/>
        </w:rPr>
        <w:t>This is</w:t>
      </w:r>
      <w:r w:rsidR="002C0D4F" w:rsidRPr="00520B8F">
        <w:rPr>
          <w:rFonts w:ascii="Times New Roman" w:hAnsi="Times New Roman" w:cs="Times New Roman"/>
        </w:rPr>
        <w:t xml:space="preserve"> the </w:t>
      </w:r>
      <w:r w:rsidR="00F124E1" w:rsidRPr="00520B8F">
        <w:rPr>
          <w:rFonts w:ascii="Times New Roman" w:hAnsi="Times New Roman" w:cs="Times New Roman"/>
        </w:rPr>
        <w:t xml:space="preserve">often </w:t>
      </w:r>
      <w:r w:rsidR="002C0D4F" w:rsidRPr="00520B8F">
        <w:rPr>
          <w:rFonts w:ascii="Times New Roman" w:hAnsi="Times New Roman" w:cs="Times New Roman"/>
        </w:rPr>
        <w:t>case</w:t>
      </w:r>
      <w:r w:rsidR="006351F6" w:rsidRPr="00520B8F">
        <w:rPr>
          <w:rFonts w:ascii="Times New Roman" w:hAnsi="Times New Roman" w:cs="Times New Roman"/>
        </w:rPr>
        <w:t xml:space="preserve"> </w:t>
      </w:r>
      <w:r w:rsidR="00C147EA" w:rsidRPr="00520B8F">
        <w:rPr>
          <w:rFonts w:ascii="Times New Roman" w:hAnsi="Times New Roman" w:cs="Times New Roman"/>
        </w:rPr>
        <w:t xml:space="preserve">also </w:t>
      </w:r>
      <w:r w:rsidR="006351F6" w:rsidRPr="00520B8F">
        <w:rPr>
          <w:rFonts w:ascii="Times New Roman" w:hAnsi="Times New Roman" w:cs="Times New Roman"/>
        </w:rPr>
        <w:t>for HIV-</w:t>
      </w:r>
      <w:r w:rsidR="00F124E1" w:rsidRPr="00520B8F">
        <w:rPr>
          <w:rFonts w:ascii="Times New Roman" w:hAnsi="Times New Roman" w:cs="Times New Roman"/>
        </w:rPr>
        <w:t xml:space="preserve">positive </w:t>
      </w:r>
      <w:r w:rsidR="006351F6" w:rsidRPr="00520B8F">
        <w:rPr>
          <w:rFonts w:ascii="Times New Roman" w:hAnsi="Times New Roman" w:cs="Times New Roman"/>
        </w:rPr>
        <w:t>people.</w:t>
      </w:r>
    </w:p>
    <w:p w14:paraId="073B00C8" w14:textId="77777777" w:rsidR="00D64DC7" w:rsidRPr="00520B8F" w:rsidRDefault="00D64DC7" w:rsidP="009124AD">
      <w:pPr>
        <w:jc w:val="both"/>
        <w:rPr>
          <w:rFonts w:ascii="Times New Roman" w:hAnsi="Times New Roman" w:cs="Times New Roman"/>
        </w:rPr>
      </w:pPr>
    </w:p>
    <w:p w14:paraId="7607CC2C" w14:textId="2430A919" w:rsidR="00117179" w:rsidRPr="00520B8F" w:rsidRDefault="00117179" w:rsidP="533F4A94">
      <w:pPr>
        <w:ind w:firstLine="720"/>
        <w:jc w:val="both"/>
        <w:outlineLvl w:val="0"/>
        <w:rPr>
          <w:rFonts w:ascii="Times New Roman" w:hAnsi="Times New Roman" w:cs="Times New Roman"/>
          <w:b/>
          <w:bCs/>
        </w:rPr>
      </w:pPr>
      <w:r w:rsidRPr="00520B8F">
        <w:rPr>
          <w:rFonts w:ascii="Times New Roman" w:hAnsi="Times New Roman" w:cs="Times New Roman"/>
          <w:b/>
          <w:bCs/>
        </w:rPr>
        <w:t>2.1.7. Requirement of Informing the Patients of the Medical Treatment</w:t>
      </w:r>
    </w:p>
    <w:p w14:paraId="79D3FA52" w14:textId="77777777" w:rsidR="00117179" w:rsidRPr="00520B8F" w:rsidRDefault="00117179" w:rsidP="009124AD">
      <w:pPr>
        <w:ind w:firstLine="720"/>
        <w:jc w:val="both"/>
        <w:rPr>
          <w:rFonts w:ascii="Times New Roman" w:hAnsi="Times New Roman" w:cs="Times New Roman"/>
        </w:rPr>
      </w:pPr>
    </w:p>
    <w:p w14:paraId="7D99B3FF" w14:textId="7C81AA32" w:rsidR="00D64DC7" w:rsidRPr="00520B8F" w:rsidRDefault="00D64DC7" w:rsidP="003F6D44">
      <w:pPr>
        <w:autoSpaceDE w:val="0"/>
        <w:autoSpaceDN w:val="0"/>
        <w:adjustRightInd w:val="0"/>
        <w:jc w:val="both"/>
        <w:rPr>
          <w:rFonts w:ascii="Times New Roman" w:hAnsi="Times New Roman" w:cs="Times New Roman"/>
          <w:i/>
          <w:iCs/>
          <w:lang w:val="tr-TR"/>
        </w:rPr>
      </w:pPr>
      <w:r w:rsidRPr="00520B8F">
        <w:rPr>
          <w:rFonts w:ascii="Times New Roman" w:hAnsi="Times New Roman" w:cs="Times New Roman"/>
        </w:rPr>
        <w:t>18.</w:t>
      </w:r>
      <w:r w:rsidR="003F6D44" w:rsidRPr="00520B8F">
        <w:rPr>
          <w:rFonts w:ascii="Times New Roman" w:hAnsi="Times New Roman" w:cs="Times New Roman"/>
        </w:rPr>
        <w:t xml:space="preserve"> </w:t>
      </w:r>
      <w:r w:rsidR="002A506D" w:rsidRPr="00520B8F">
        <w:rPr>
          <w:rFonts w:ascii="Times New Roman" w:hAnsi="Times New Roman" w:cs="Times New Roman"/>
        </w:rPr>
        <w:t xml:space="preserve">In </w:t>
      </w:r>
      <w:r w:rsidR="002A506D" w:rsidRPr="00520B8F">
        <w:rPr>
          <w:rFonts w:ascii="Times New Roman" w:hAnsi="Times New Roman" w:cs="Times New Roman"/>
          <w:iCs/>
          <w:lang w:val="tr-TR"/>
        </w:rPr>
        <w:t xml:space="preserve">Tülay Yıldız </w:t>
      </w:r>
      <w:proofErr w:type="spellStart"/>
      <w:r w:rsidR="002A506D" w:rsidRPr="00520B8F">
        <w:rPr>
          <w:rFonts w:ascii="Times New Roman" w:hAnsi="Times New Roman" w:cs="Times New Roman"/>
          <w:iCs/>
          <w:lang w:val="tr-TR"/>
        </w:rPr>
        <w:t>judgement</w:t>
      </w:r>
      <w:proofErr w:type="spellEnd"/>
      <w:r w:rsidR="002A506D" w:rsidRPr="00520B8F">
        <w:rPr>
          <w:rFonts w:ascii="Times New Roman" w:hAnsi="Times New Roman" w:cs="Times New Roman"/>
          <w:iCs/>
          <w:lang w:val="tr-TR"/>
        </w:rPr>
        <w:t>,</w:t>
      </w:r>
      <w:r w:rsidR="002A506D" w:rsidRPr="00520B8F">
        <w:rPr>
          <w:rFonts w:ascii="Times New Roman" w:hAnsi="Times New Roman" w:cs="Times New Roman"/>
          <w:i/>
          <w:iCs/>
          <w:lang w:val="tr-TR"/>
        </w:rPr>
        <w:t xml:space="preserve"> </w:t>
      </w:r>
      <w:proofErr w:type="spellStart"/>
      <w:r w:rsidR="002A506D" w:rsidRPr="00520B8F">
        <w:rPr>
          <w:rFonts w:ascii="Times New Roman" w:hAnsi="Times New Roman" w:cs="Times New Roman"/>
          <w:lang w:val="tr-TR"/>
        </w:rPr>
        <w:t>European</w:t>
      </w:r>
      <w:proofErr w:type="spellEnd"/>
      <w:r w:rsidR="002A506D" w:rsidRPr="00520B8F">
        <w:rPr>
          <w:rFonts w:ascii="Times New Roman" w:hAnsi="Times New Roman" w:cs="Times New Roman"/>
          <w:lang w:val="tr-TR"/>
        </w:rPr>
        <w:t xml:space="preserve"> Court of Human </w:t>
      </w:r>
      <w:proofErr w:type="spellStart"/>
      <w:r w:rsidR="002A506D" w:rsidRPr="00520B8F">
        <w:rPr>
          <w:rFonts w:ascii="Times New Roman" w:hAnsi="Times New Roman" w:cs="Times New Roman"/>
          <w:lang w:val="tr-TR"/>
        </w:rPr>
        <w:t>Rights</w:t>
      </w:r>
      <w:proofErr w:type="spellEnd"/>
      <w:r w:rsidR="002A506D" w:rsidRPr="00520B8F">
        <w:rPr>
          <w:rFonts w:ascii="Times New Roman" w:hAnsi="Times New Roman" w:cs="Times New Roman"/>
          <w:lang w:val="tr-TR"/>
        </w:rPr>
        <w:t xml:space="preserve"> </w:t>
      </w:r>
      <w:proofErr w:type="spellStart"/>
      <w:r w:rsidR="002A506D" w:rsidRPr="00520B8F">
        <w:rPr>
          <w:rFonts w:ascii="Times New Roman" w:hAnsi="Times New Roman" w:cs="Times New Roman"/>
          <w:lang w:val="tr-TR"/>
        </w:rPr>
        <w:t>considered</w:t>
      </w:r>
      <w:proofErr w:type="spellEnd"/>
      <w:r w:rsidR="002A506D"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the</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doctors</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failure</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to</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provide</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sufficient</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information</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to</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the</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patient</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regarding</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the</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treatment</w:t>
      </w:r>
      <w:proofErr w:type="spellEnd"/>
      <w:r w:rsidR="003F6D44" w:rsidRPr="00520B8F">
        <w:rPr>
          <w:rFonts w:ascii="Times New Roman" w:hAnsi="Times New Roman" w:cs="Times New Roman"/>
          <w:lang w:val="tr-TR"/>
        </w:rPr>
        <w:t xml:space="preserve">, </w:t>
      </w:r>
      <w:proofErr w:type="spellStart"/>
      <w:r w:rsidR="003F6D44" w:rsidRPr="00520B8F">
        <w:rPr>
          <w:rFonts w:ascii="Times New Roman" w:hAnsi="Times New Roman" w:cs="Times New Roman"/>
          <w:lang w:val="tr-TR"/>
        </w:rPr>
        <w:t>unsatisfactory</w:t>
      </w:r>
      <w:proofErr w:type="spellEnd"/>
      <w:r w:rsidR="003F6D44" w:rsidRPr="00520B8F">
        <w:rPr>
          <w:rFonts w:ascii="Times New Roman" w:hAnsi="Times New Roman" w:cs="Times New Roman"/>
          <w:lang w:val="tr-TR"/>
        </w:rPr>
        <w:t xml:space="preserve"> post-</w:t>
      </w:r>
      <w:proofErr w:type="spellStart"/>
      <w:r w:rsidR="003F6D44" w:rsidRPr="00520B8F">
        <w:rPr>
          <w:rFonts w:ascii="Times New Roman" w:hAnsi="Times New Roman" w:cs="Times New Roman"/>
          <w:lang w:val="tr-TR"/>
        </w:rPr>
        <w:t>oper</w:t>
      </w:r>
      <w:r w:rsidR="002A506D" w:rsidRPr="00520B8F">
        <w:rPr>
          <w:rFonts w:ascii="Times New Roman" w:hAnsi="Times New Roman" w:cs="Times New Roman"/>
          <w:lang w:val="tr-TR"/>
        </w:rPr>
        <w:t>ation</w:t>
      </w:r>
      <w:proofErr w:type="spellEnd"/>
      <w:r w:rsidR="002A506D" w:rsidRPr="00520B8F">
        <w:rPr>
          <w:rFonts w:ascii="Times New Roman" w:hAnsi="Times New Roman" w:cs="Times New Roman"/>
          <w:lang w:val="tr-TR"/>
        </w:rPr>
        <w:t xml:space="preserve"> </w:t>
      </w:r>
      <w:proofErr w:type="spellStart"/>
      <w:r w:rsidR="002A506D" w:rsidRPr="00520B8F">
        <w:rPr>
          <w:rFonts w:ascii="Times New Roman" w:hAnsi="Times New Roman" w:cs="Times New Roman"/>
          <w:lang w:val="tr-TR"/>
        </w:rPr>
        <w:t>care</w:t>
      </w:r>
      <w:proofErr w:type="spellEnd"/>
      <w:r w:rsidR="002A506D" w:rsidRPr="00520B8F">
        <w:rPr>
          <w:rFonts w:ascii="Times New Roman" w:hAnsi="Times New Roman" w:cs="Times New Roman"/>
          <w:lang w:val="tr-TR"/>
        </w:rPr>
        <w:t xml:space="preserve"> </w:t>
      </w:r>
      <w:proofErr w:type="spellStart"/>
      <w:r w:rsidR="002A506D" w:rsidRPr="00520B8F">
        <w:rPr>
          <w:rFonts w:ascii="Times New Roman" w:hAnsi="Times New Roman" w:cs="Times New Roman"/>
          <w:lang w:val="tr-TR"/>
        </w:rPr>
        <w:t>and</w:t>
      </w:r>
      <w:proofErr w:type="spellEnd"/>
      <w:r w:rsidR="002A506D" w:rsidRPr="00520B8F">
        <w:rPr>
          <w:rFonts w:ascii="Times New Roman" w:hAnsi="Times New Roman" w:cs="Times New Roman"/>
          <w:lang w:val="tr-TR"/>
        </w:rPr>
        <w:t xml:space="preserve"> </w:t>
      </w:r>
      <w:proofErr w:type="spellStart"/>
      <w:r w:rsidR="002A506D" w:rsidRPr="00520B8F">
        <w:rPr>
          <w:rFonts w:ascii="Times New Roman" w:hAnsi="Times New Roman" w:cs="Times New Roman"/>
          <w:lang w:val="tr-TR"/>
        </w:rPr>
        <w:t>medical</w:t>
      </w:r>
      <w:proofErr w:type="spellEnd"/>
      <w:r w:rsidR="002A506D" w:rsidRPr="00520B8F">
        <w:rPr>
          <w:rFonts w:ascii="Times New Roman" w:hAnsi="Times New Roman" w:cs="Times New Roman"/>
          <w:lang w:val="tr-TR"/>
        </w:rPr>
        <w:t xml:space="preserve"> </w:t>
      </w:r>
      <w:proofErr w:type="spellStart"/>
      <w:r w:rsidR="002A506D" w:rsidRPr="00520B8F">
        <w:rPr>
          <w:rFonts w:ascii="Times New Roman" w:hAnsi="Times New Roman" w:cs="Times New Roman"/>
          <w:lang w:val="tr-TR"/>
        </w:rPr>
        <w:t>follow-up</w:t>
      </w:r>
      <w:proofErr w:type="spellEnd"/>
      <w:r w:rsidR="002A506D" w:rsidRPr="00520B8F">
        <w:rPr>
          <w:rFonts w:ascii="Times New Roman" w:hAnsi="Times New Roman" w:cs="Times New Roman"/>
          <w:lang w:val="tr-TR"/>
        </w:rPr>
        <w:t xml:space="preserve"> as a </w:t>
      </w:r>
      <w:proofErr w:type="spellStart"/>
      <w:r w:rsidR="002A506D" w:rsidRPr="00520B8F">
        <w:rPr>
          <w:rFonts w:ascii="Times New Roman" w:hAnsi="Times New Roman" w:cs="Times New Roman"/>
          <w:lang w:val="tr-TR"/>
        </w:rPr>
        <w:t>violation</w:t>
      </w:r>
      <w:proofErr w:type="spellEnd"/>
      <w:r w:rsidR="002A506D" w:rsidRPr="00520B8F">
        <w:rPr>
          <w:rFonts w:ascii="Times New Roman" w:hAnsi="Times New Roman" w:cs="Times New Roman"/>
          <w:lang w:val="tr-TR"/>
        </w:rPr>
        <w:t xml:space="preserve"> of </w:t>
      </w:r>
      <w:proofErr w:type="spellStart"/>
      <w:r w:rsidR="002A506D" w:rsidRPr="00520B8F">
        <w:rPr>
          <w:rFonts w:ascii="Times New Roman" w:hAnsi="Times New Roman" w:cs="Times New Roman"/>
          <w:lang w:val="tr-TR"/>
        </w:rPr>
        <w:t>Article</w:t>
      </w:r>
      <w:proofErr w:type="spellEnd"/>
      <w:r w:rsidR="002A506D" w:rsidRPr="00520B8F">
        <w:rPr>
          <w:rFonts w:ascii="Times New Roman" w:hAnsi="Times New Roman" w:cs="Times New Roman"/>
          <w:lang w:val="tr-TR"/>
        </w:rPr>
        <w:t xml:space="preserve"> 2 in </w:t>
      </w:r>
      <w:proofErr w:type="spellStart"/>
      <w:r w:rsidR="002A506D" w:rsidRPr="00520B8F">
        <w:rPr>
          <w:rFonts w:ascii="Times New Roman" w:hAnsi="Times New Roman" w:cs="Times New Roman"/>
          <w:lang w:val="tr-TR"/>
        </w:rPr>
        <w:t>terms</w:t>
      </w:r>
      <w:proofErr w:type="spellEnd"/>
      <w:r w:rsidR="002A506D" w:rsidRPr="00520B8F">
        <w:rPr>
          <w:rFonts w:ascii="Times New Roman" w:hAnsi="Times New Roman" w:cs="Times New Roman"/>
          <w:lang w:val="tr-TR"/>
        </w:rPr>
        <w:t xml:space="preserve"> of </w:t>
      </w:r>
      <w:proofErr w:type="spellStart"/>
      <w:r w:rsidR="002A506D" w:rsidRPr="00520B8F">
        <w:rPr>
          <w:rFonts w:ascii="Times New Roman" w:hAnsi="Times New Roman" w:cs="Times New Roman"/>
          <w:lang w:val="tr-TR"/>
        </w:rPr>
        <w:t>procedural</w:t>
      </w:r>
      <w:proofErr w:type="spellEnd"/>
      <w:r w:rsidR="002A506D" w:rsidRPr="00520B8F">
        <w:rPr>
          <w:rFonts w:ascii="Times New Roman" w:hAnsi="Times New Roman" w:cs="Times New Roman"/>
          <w:lang w:val="tr-TR"/>
        </w:rPr>
        <w:t xml:space="preserve"> </w:t>
      </w:r>
      <w:proofErr w:type="spellStart"/>
      <w:r w:rsidR="002A506D" w:rsidRPr="00520B8F">
        <w:rPr>
          <w:rFonts w:ascii="Times New Roman" w:hAnsi="Times New Roman" w:cs="Times New Roman"/>
          <w:lang w:val="tr-TR"/>
        </w:rPr>
        <w:t>aspect</w:t>
      </w:r>
      <w:proofErr w:type="spellEnd"/>
      <w:r w:rsidR="002A506D" w:rsidRPr="00520B8F">
        <w:rPr>
          <w:rFonts w:ascii="Times New Roman" w:hAnsi="Times New Roman" w:cs="Times New Roman"/>
          <w:lang w:val="tr-TR"/>
        </w:rPr>
        <w:t>.</w:t>
      </w:r>
      <w:r w:rsidR="003F6D44" w:rsidRPr="00520B8F">
        <w:rPr>
          <w:rFonts w:ascii="TimesNewRoman" w:hAnsi="TimesNewRoman" w:cs="TimesNewRoman"/>
          <w:lang w:val="tr-TR"/>
        </w:rPr>
        <w:t xml:space="preserve"> </w:t>
      </w:r>
      <w:r w:rsidR="002A506D" w:rsidRPr="00520B8F">
        <w:rPr>
          <w:rFonts w:ascii="Times New Roman" w:hAnsi="Times New Roman" w:cs="Times New Roman"/>
        </w:rPr>
        <w:t>I</w:t>
      </w:r>
      <w:r w:rsidR="00565799" w:rsidRPr="00520B8F">
        <w:rPr>
          <w:rFonts w:ascii="Times New Roman" w:hAnsi="Times New Roman" w:cs="Times New Roman"/>
        </w:rPr>
        <w:t>n paragraphs 86 to 97</w:t>
      </w:r>
      <w:r w:rsidR="00754249" w:rsidRPr="00520B8F">
        <w:rPr>
          <w:rFonts w:ascii="Times New Roman" w:hAnsi="Times New Roman" w:cs="Times New Roman"/>
        </w:rPr>
        <w:t xml:space="preserve"> of the Government's opinion, the legislation and judicial decisi</w:t>
      </w:r>
      <w:r w:rsidR="008721CC" w:rsidRPr="00520B8F">
        <w:rPr>
          <w:rFonts w:ascii="Times New Roman" w:hAnsi="Times New Roman" w:cs="Times New Roman"/>
        </w:rPr>
        <w:t>ons on informing patients about</w:t>
      </w:r>
      <w:r w:rsidR="00754249" w:rsidRPr="00520B8F">
        <w:rPr>
          <w:rFonts w:ascii="Times New Roman" w:hAnsi="Times New Roman" w:cs="Times New Roman"/>
        </w:rPr>
        <w:t xml:space="preserve"> medical treatments are mentioned. Problems regarding informing patients and their relatives about treatment</w:t>
      </w:r>
      <w:r w:rsidR="008721CC" w:rsidRPr="00520B8F">
        <w:rPr>
          <w:rFonts w:ascii="Times New Roman" w:hAnsi="Times New Roman" w:cs="Times New Roman"/>
        </w:rPr>
        <w:t>s</w:t>
      </w:r>
      <w:r w:rsidR="00754249" w:rsidRPr="00520B8F">
        <w:rPr>
          <w:rFonts w:ascii="Times New Roman" w:hAnsi="Times New Roman" w:cs="Times New Roman"/>
        </w:rPr>
        <w:t xml:space="preserve"> continue. Legislation on the subject is inadequate and not implemented in practice.</w:t>
      </w:r>
      <w:r w:rsidR="008721CC" w:rsidRPr="00520B8F">
        <w:rPr>
          <w:rStyle w:val="DipnotBavurusu"/>
          <w:rFonts w:ascii="Times New Roman" w:hAnsi="Times New Roman" w:cs="Times New Roman"/>
        </w:rPr>
        <w:footnoteReference w:id="22"/>
      </w:r>
      <w:r w:rsidR="008721CC" w:rsidRPr="00520B8F">
        <w:rPr>
          <w:rFonts w:ascii="Times New Roman" w:hAnsi="Times New Roman" w:cs="Times New Roman"/>
        </w:rPr>
        <w:t xml:space="preserve"> In </w:t>
      </w:r>
      <w:proofErr w:type="gramStart"/>
      <w:r w:rsidR="008721CC" w:rsidRPr="00520B8F">
        <w:rPr>
          <w:rFonts w:ascii="Times New Roman" w:hAnsi="Times New Roman" w:cs="Times New Roman"/>
        </w:rPr>
        <w:t>a</w:t>
      </w:r>
      <w:proofErr w:type="gramEnd"/>
      <w:r w:rsidR="008721CC" w:rsidRPr="00520B8F">
        <w:rPr>
          <w:rFonts w:ascii="Times New Roman" w:hAnsi="Times New Roman" w:cs="Times New Roman"/>
        </w:rPr>
        <w:t xml:space="preserve"> MSc thesis accepted in 2015, it is stated that “[h]</w:t>
      </w:r>
      <w:proofErr w:type="spellStart"/>
      <w:r w:rsidR="008721CC" w:rsidRPr="00520B8F">
        <w:rPr>
          <w:rFonts w:ascii="Times New Roman" w:hAnsi="Times New Roman" w:cs="Times New Roman"/>
        </w:rPr>
        <w:t>owever</w:t>
      </w:r>
      <w:proofErr w:type="spellEnd"/>
      <w:r w:rsidR="008721CC" w:rsidRPr="00520B8F">
        <w:rPr>
          <w:rFonts w:ascii="Times New Roman" w:hAnsi="Times New Roman" w:cs="Times New Roman"/>
        </w:rPr>
        <w:t xml:space="preserve">, in practice, this issue is not given the necessary attention. It is seen as an extra workload, and it consists of simply signing the forms and putting them in the files, often ignoring the information of the patient. The excessive workload is considered to be the reason </w:t>
      </w:r>
      <w:r w:rsidR="008721CC" w:rsidRPr="00520B8F">
        <w:rPr>
          <w:rFonts w:ascii="Times New Roman" w:hAnsi="Times New Roman" w:cs="Times New Roman"/>
        </w:rPr>
        <w:lastRenderedPageBreak/>
        <w:t>that leads the physician and health worker to this situation.”</w:t>
      </w:r>
      <w:r w:rsidR="008721CC" w:rsidRPr="00520B8F">
        <w:rPr>
          <w:rStyle w:val="DipnotBavurusu"/>
          <w:rFonts w:ascii="Times New Roman" w:hAnsi="Times New Roman" w:cs="Times New Roman"/>
        </w:rPr>
        <w:footnoteReference w:id="23"/>
      </w:r>
      <w:r w:rsidR="008721CC" w:rsidRPr="00520B8F">
        <w:rPr>
          <w:rFonts w:ascii="Times New Roman" w:hAnsi="Times New Roman" w:cs="Times New Roman"/>
        </w:rPr>
        <w:t xml:space="preserve"> In another study published in 2015, it is stated that “the patients read and did not understand the surgical informed consent, the consent was signed by the nurses, the explanation was made by the nurses, and the consent was signed because it was a formality. In line with these results, it may be suggested to define and solve the problems related to the implementation of informed consent and to establish institutional strategies for their solution.”</w:t>
      </w:r>
      <w:r w:rsidR="008721CC" w:rsidRPr="00520B8F">
        <w:rPr>
          <w:rStyle w:val="DipnotBavurusu"/>
          <w:rFonts w:ascii="Times New Roman" w:hAnsi="Times New Roman" w:cs="Times New Roman"/>
        </w:rPr>
        <w:footnoteReference w:id="24"/>
      </w:r>
    </w:p>
    <w:p w14:paraId="6B5FC2CE" w14:textId="77777777" w:rsidR="00F5100D" w:rsidRPr="00520B8F" w:rsidRDefault="00F5100D" w:rsidP="009124AD">
      <w:pPr>
        <w:jc w:val="both"/>
        <w:rPr>
          <w:rFonts w:ascii="Times New Roman" w:hAnsi="Times New Roman" w:cs="Times New Roman"/>
        </w:rPr>
      </w:pPr>
    </w:p>
    <w:p w14:paraId="53C13C1D" w14:textId="08608D9D" w:rsidR="00F5100D" w:rsidRPr="00520B8F" w:rsidRDefault="00F5100D" w:rsidP="002A506D">
      <w:pPr>
        <w:jc w:val="both"/>
        <w:rPr>
          <w:rFonts w:ascii="Times New Roman" w:hAnsi="Times New Roman" w:cs="Times New Roman"/>
        </w:rPr>
      </w:pPr>
      <w:r w:rsidRPr="00520B8F">
        <w:rPr>
          <w:rFonts w:ascii="Times New Roman" w:hAnsi="Times New Roman" w:cs="Times New Roman"/>
        </w:rPr>
        <w:t>19. The ju</w:t>
      </w:r>
      <w:r w:rsidR="0077224F" w:rsidRPr="00520B8F">
        <w:rPr>
          <w:rFonts w:ascii="Times New Roman" w:hAnsi="Times New Roman" w:cs="Times New Roman"/>
        </w:rPr>
        <w:t>dicial opinions</w:t>
      </w:r>
      <w:r w:rsidRPr="00520B8F">
        <w:rPr>
          <w:rFonts w:ascii="Times New Roman" w:hAnsi="Times New Roman" w:cs="Times New Roman"/>
        </w:rPr>
        <w:t xml:space="preserve"> of the </w:t>
      </w:r>
      <w:r w:rsidR="0077224F" w:rsidRPr="00520B8F">
        <w:rPr>
          <w:rFonts w:ascii="Times New Roman" w:hAnsi="Times New Roman" w:cs="Times New Roman"/>
        </w:rPr>
        <w:t>Constitutional Court also demonstrate</w:t>
      </w:r>
      <w:r w:rsidRPr="00520B8F">
        <w:rPr>
          <w:rFonts w:ascii="Times New Roman" w:hAnsi="Times New Roman" w:cs="Times New Roman"/>
        </w:rPr>
        <w:t xml:space="preserve"> the existence of problems in this context. In its decision dated </w:t>
      </w:r>
      <w:r w:rsidR="0077224F" w:rsidRPr="00520B8F">
        <w:rPr>
          <w:rFonts w:ascii="Times New Roman" w:hAnsi="Times New Roman" w:cs="Times New Roman"/>
        </w:rPr>
        <w:t>June 30</w:t>
      </w:r>
      <w:r w:rsidR="0077224F" w:rsidRPr="00520B8F">
        <w:rPr>
          <w:rFonts w:ascii="Times New Roman" w:hAnsi="Times New Roman" w:cs="Times New Roman"/>
          <w:vertAlign w:val="superscript"/>
        </w:rPr>
        <w:t>th</w:t>
      </w:r>
      <w:r w:rsidR="0077224F" w:rsidRPr="00520B8F">
        <w:rPr>
          <w:rFonts w:ascii="Times New Roman" w:hAnsi="Times New Roman" w:cs="Times New Roman"/>
        </w:rPr>
        <w:t>, 2021, the Constitutional Court’s conclusion is as follows:</w:t>
      </w:r>
      <w:r w:rsidR="002A506D" w:rsidRPr="00520B8F">
        <w:rPr>
          <w:rFonts w:ascii="Times New Roman" w:hAnsi="Times New Roman" w:cs="Times New Roman"/>
        </w:rPr>
        <w:t xml:space="preserve"> In the case, the applicant claimed that he was injured due to the incorrect injection, that the integrity of his body was damaged, and that he was not informed about the possible consequences of this process. </w:t>
      </w:r>
      <w:r w:rsidR="006E4096" w:rsidRPr="00520B8F">
        <w:rPr>
          <w:rFonts w:ascii="Times New Roman" w:hAnsi="Times New Roman" w:cs="Times New Roman"/>
        </w:rPr>
        <w:t>He also claimed that the courts of instance rejected the claim for pecuniary damages without examining this matter d</w:t>
      </w:r>
      <w:r w:rsidR="002A506D" w:rsidRPr="00520B8F">
        <w:rPr>
          <w:rFonts w:ascii="Times New Roman" w:hAnsi="Times New Roman" w:cs="Times New Roman"/>
        </w:rPr>
        <w:t>espite the</w:t>
      </w:r>
      <w:r w:rsidR="006E4096" w:rsidRPr="00520B8F">
        <w:rPr>
          <w:rFonts w:ascii="Times New Roman" w:hAnsi="Times New Roman" w:cs="Times New Roman"/>
        </w:rPr>
        <w:t>se</w:t>
      </w:r>
      <w:r w:rsidR="002A506D" w:rsidRPr="00520B8F">
        <w:rPr>
          <w:rFonts w:ascii="Times New Roman" w:hAnsi="Times New Roman" w:cs="Times New Roman"/>
        </w:rPr>
        <w:t xml:space="preserve"> fact</w:t>
      </w:r>
      <w:r w:rsidR="006E4096" w:rsidRPr="00520B8F">
        <w:rPr>
          <w:rFonts w:ascii="Times New Roman" w:hAnsi="Times New Roman" w:cs="Times New Roman"/>
        </w:rPr>
        <w:t xml:space="preserve">s. </w:t>
      </w:r>
      <w:r w:rsidR="0077224F" w:rsidRPr="00520B8F">
        <w:rPr>
          <w:rFonts w:ascii="Times New Roman" w:hAnsi="Times New Roman" w:cs="Times New Roman"/>
          <w:i/>
          <w:iCs/>
        </w:rPr>
        <w:t>T</w:t>
      </w:r>
      <w:r w:rsidRPr="00520B8F">
        <w:rPr>
          <w:rFonts w:ascii="Times New Roman" w:hAnsi="Times New Roman" w:cs="Times New Roman"/>
          <w:i/>
          <w:iCs/>
        </w:rPr>
        <w:t>he fact that the person was not informed before the medical intervention and his consent was not obtained does not constitute a violation.</w:t>
      </w:r>
      <w:r w:rsidR="0077224F" w:rsidRPr="00520B8F">
        <w:rPr>
          <w:rStyle w:val="DipnotBavurusu"/>
          <w:rFonts w:ascii="Times New Roman" w:hAnsi="Times New Roman" w:cs="Times New Roman"/>
        </w:rPr>
        <w:footnoteReference w:id="25"/>
      </w:r>
      <w:r w:rsidRPr="00520B8F">
        <w:rPr>
          <w:rFonts w:ascii="Times New Roman" w:hAnsi="Times New Roman" w:cs="Times New Roman"/>
        </w:rPr>
        <w:t xml:space="preserve"> </w:t>
      </w:r>
      <w:r w:rsidR="00117179" w:rsidRPr="00520B8F">
        <w:rPr>
          <w:rFonts w:ascii="Times New Roman" w:hAnsi="Times New Roman" w:cs="Times New Roman"/>
        </w:rPr>
        <w:t>Similarly</w:t>
      </w:r>
      <w:r w:rsidRPr="00520B8F">
        <w:rPr>
          <w:rFonts w:ascii="Times New Roman" w:hAnsi="Times New Roman" w:cs="Times New Roman"/>
        </w:rPr>
        <w:t xml:space="preserve">, in its decision dated </w:t>
      </w:r>
      <w:r w:rsidR="0077224F" w:rsidRPr="00520B8F">
        <w:rPr>
          <w:rFonts w:ascii="Times New Roman" w:hAnsi="Times New Roman" w:cs="Times New Roman"/>
        </w:rPr>
        <w:t>September 12</w:t>
      </w:r>
      <w:r w:rsidR="0077224F" w:rsidRPr="00520B8F">
        <w:rPr>
          <w:rFonts w:ascii="Times New Roman" w:hAnsi="Times New Roman" w:cs="Times New Roman"/>
          <w:vertAlign w:val="superscript"/>
        </w:rPr>
        <w:t>th</w:t>
      </w:r>
      <w:r w:rsidR="0077224F" w:rsidRPr="00520B8F">
        <w:rPr>
          <w:rFonts w:ascii="Times New Roman" w:hAnsi="Times New Roman" w:cs="Times New Roman"/>
        </w:rPr>
        <w:t xml:space="preserve">, </w:t>
      </w:r>
      <w:r w:rsidRPr="00520B8F">
        <w:rPr>
          <w:rFonts w:ascii="Times New Roman" w:hAnsi="Times New Roman" w:cs="Times New Roman"/>
        </w:rPr>
        <w:t>2018, the Constitutional Court decided that the applicant did not claim that the consent was not obtained, therefore the application was inadmissible.</w:t>
      </w:r>
      <w:r w:rsidR="001E45B2" w:rsidRPr="00520B8F">
        <w:rPr>
          <w:rStyle w:val="DipnotBavurusu"/>
          <w:rFonts w:ascii="Times New Roman" w:hAnsi="Times New Roman" w:cs="Times New Roman"/>
        </w:rPr>
        <w:footnoteReference w:id="26"/>
      </w:r>
      <w:r w:rsidR="001D022F" w:rsidRPr="00520B8F">
        <w:rPr>
          <w:rFonts w:ascii="Times New Roman" w:hAnsi="Times New Roman" w:cs="Times New Roman"/>
        </w:rPr>
        <w:t xml:space="preserve"> In this decision, the Constitutional Court states that “</w:t>
      </w:r>
      <w:r w:rsidR="00D63831" w:rsidRPr="00520B8F">
        <w:rPr>
          <w:rFonts w:ascii="Times New Roman" w:hAnsi="Times New Roman" w:cs="Times New Roman"/>
        </w:rPr>
        <w:t>…the applicant does not claim that she did not give her consent for natural birth or that she was not informed by the doctor, but only claims that she does not have her signature on official documents.” It is clear that the absence of the applicant's signature in the official documents meets the claim of not being informed. In another decision of the Constitutional Court on June 30</w:t>
      </w:r>
      <w:r w:rsidR="00D63831" w:rsidRPr="00520B8F">
        <w:rPr>
          <w:rFonts w:ascii="Times New Roman" w:hAnsi="Times New Roman" w:cs="Times New Roman"/>
          <w:vertAlign w:val="superscript"/>
        </w:rPr>
        <w:t>th</w:t>
      </w:r>
      <w:r w:rsidR="00D63831" w:rsidRPr="00520B8F">
        <w:rPr>
          <w:rFonts w:ascii="Times New Roman" w:hAnsi="Times New Roman" w:cs="Times New Roman"/>
        </w:rPr>
        <w:t>, 2021, the application was found to be inadmissible by clearly stating that "...the application was not examined in the context of the administration's obligation to inform, since the applicant had no claim that they were not informed before the medical intervention</w:t>
      </w:r>
      <w:r w:rsidR="006E4096" w:rsidRPr="00520B8F">
        <w:rPr>
          <w:rFonts w:ascii="Times New Roman" w:hAnsi="Times New Roman" w:cs="Times New Roman"/>
        </w:rPr>
        <w:t xml:space="preserve"> (injection)</w:t>
      </w:r>
      <w:r w:rsidR="00D63831" w:rsidRPr="00520B8F">
        <w:rPr>
          <w:rFonts w:ascii="Times New Roman" w:hAnsi="Times New Roman" w:cs="Times New Roman"/>
        </w:rPr>
        <w:t xml:space="preserve"> and their consent was not obtained."</w:t>
      </w:r>
      <w:r w:rsidR="00D63831" w:rsidRPr="00520B8F">
        <w:rPr>
          <w:rStyle w:val="DipnotBavurusu"/>
          <w:rFonts w:ascii="Times New Roman" w:hAnsi="Times New Roman" w:cs="Times New Roman"/>
        </w:rPr>
        <w:footnoteReference w:id="27"/>
      </w:r>
      <w:r w:rsidR="00D63831" w:rsidRPr="00520B8F">
        <w:rPr>
          <w:rFonts w:ascii="Times New Roman" w:hAnsi="Times New Roman" w:cs="Times New Roman"/>
        </w:rPr>
        <w:t xml:space="preserve"> Decisions in this direction seem to limit the obligations of informing the patient and/or their relatives about the medical treatment applied.</w:t>
      </w:r>
    </w:p>
    <w:p w14:paraId="2119841E" w14:textId="77777777" w:rsidR="00D63831" w:rsidRPr="00520B8F" w:rsidRDefault="00D63831" w:rsidP="009124AD">
      <w:pPr>
        <w:jc w:val="both"/>
        <w:rPr>
          <w:rFonts w:ascii="Times New Roman" w:hAnsi="Times New Roman" w:cs="Times New Roman"/>
        </w:rPr>
      </w:pPr>
    </w:p>
    <w:p w14:paraId="3C2866CE" w14:textId="77777777" w:rsidR="00D63831" w:rsidRPr="00520B8F" w:rsidRDefault="00D63831"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2.2. General Capacity Building Activities in the Expert System and Expertise in</w:t>
      </w:r>
    </w:p>
    <w:p w14:paraId="74FCCB8B" w14:textId="77777777" w:rsidR="00D63831" w:rsidRPr="00520B8F" w:rsidRDefault="00D63831"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Malpractice Cases</w:t>
      </w:r>
    </w:p>
    <w:p w14:paraId="5D75A7E9" w14:textId="77777777" w:rsidR="00D63831" w:rsidRPr="00520B8F" w:rsidRDefault="00D63831" w:rsidP="009124AD">
      <w:pPr>
        <w:jc w:val="both"/>
        <w:rPr>
          <w:rFonts w:ascii="Times New Roman" w:hAnsi="Times New Roman" w:cs="Times New Roman"/>
          <w:b/>
          <w:shd w:val="clear" w:color="auto" w:fill="FFFFFF"/>
        </w:rPr>
      </w:pPr>
    </w:p>
    <w:p w14:paraId="05B776FB" w14:textId="09BC8C03" w:rsidR="00D63831" w:rsidRPr="00520B8F" w:rsidRDefault="00D63831" w:rsidP="009124AD">
      <w:pPr>
        <w:jc w:val="both"/>
        <w:rPr>
          <w:rFonts w:ascii="Times New Roman" w:hAnsi="Times New Roman" w:cs="Times New Roman"/>
          <w:shd w:val="clear" w:color="auto" w:fill="FFFFFF"/>
        </w:rPr>
      </w:pPr>
      <w:r w:rsidRPr="00520B8F">
        <w:rPr>
          <w:rFonts w:ascii="Times New Roman" w:hAnsi="Times New Roman" w:cs="Times New Roman"/>
          <w:shd w:val="clear" w:color="auto" w:fill="FFFFFF"/>
        </w:rPr>
        <w:t xml:space="preserve">20. </w:t>
      </w:r>
      <w:r w:rsidR="000C2455" w:rsidRPr="00520B8F">
        <w:rPr>
          <w:rFonts w:ascii="Times New Roman" w:hAnsi="Times New Roman" w:cs="Times New Roman"/>
          <w:shd w:val="clear" w:color="auto" w:fill="FFFFFF"/>
        </w:rPr>
        <w:t>In paragraphs 98 to 106</w:t>
      </w:r>
      <w:r w:rsidR="00762BD5" w:rsidRPr="00520B8F">
        <w:rPr>
          <w:rFonts w:ascii="Times New Roman" w:hAnsi="Times New Roman" w:cs="Times New Roman"/>
          <w:shd w:val="clear" w:color="auto" w:fill="FFFFFF"/>
        </w:rPr>
        <w:t xml:space="preserve"> of the Government's opinion, information is given about the regulations regarding the experts and especially the practice of experts in cases of medical negligence. In our country, serious problems regarding </w:t>
      </w:r>
      <w:r w:rsidR="003909EC" w:rsidRPr="00520B8F">
        <w:rPr>
          <w:rFonts w:ascii="Times New Roman" w:hAnsi="Times New Roman" w:cs="Times New Roman"/>
          <w:shd w:val="clear" w:color="auto" w:fill="FFFFFF"/>
        </w:rPr>
        <w:t>legal experts</w:t>
      </w:r>
      <w:r w:rsidR="00762BD5" w:rsidRPr="00520B8F">
        <w:rPr>
          <w:rFonts w:ascii="Times New Roman" w:hAnsi="Times New Roman" w:cs="Times New Roman"/>
          <w:shd w:val="clear" w:color="auto" w:fill="FFFFFF"/>
        </w:rPr>
        <w:t xml:space="preserve"> continue. In a master's thesis accepted in 2021, </w:t>
      </w:r>
      <w:r w:rsidR="003909EC" w:rsidRPr="00520B8F">
        <w:rPr>
          <w:rFonts w:ascii="Times New Roman" w:hAnsi="Times New Roman" w:cs="Times New Roman"/>
          <w:shd w:val="clear" w:color="auto" w:fill="FFFFFF"/>
        </w:rPr>
        <w:t>it is stated that “</w:t>
      </w:r>
      <w:proofErr w:type="gramStart"/>
      <w:r w:rsidR="003909EC" w:rsidRPr="00520B8F">
        <w:rPr>
          <w:rFonts w:ascii="Times New Roman" w:hAnsi="Times New Roman" w:cs="Times New Roman"/>
          <w:shd w:val="clear" w:color="auto" w:fill="FFFFFF"/>
        </w:rPr>
        <w:t>…[</w:t>
      </w:r>
      <w:proofErr w:type="gramEnd"/>
      <w:r w:rsidR="003909EC" w:rsidRPr="00520B8F">
        <w:rPr>
          <w:rFonts w:ascii="Times New Roman" w:hAnsi="Times New Roman" w:cs="Times New Roman"/>
          <w:shd w:val="clear" w:color="auto" w:fill="FFFFFF"/>
        </w:rPr>
        <w:t>a]</w:t>
      </w:r>
      <w:proofErr w:type="spellStart"/>
      <w:r w:rsidR="003909EC" w:rsidRPr="00520B8F">
        <w:rPr>
          <w:rFonts w:ascii="Times New Roman" w:hAnsi="Times New Roman" w:cs="Times New Roman"/>
          <w:shd w:val="clear" w:color="auto" w:fill="FFFFFF"/>
        </w:rPr>
        <w:t>ll</w:t>
      </w:r>
      <w:proofErr w:type="spellEnd"/>
      <w:r w:rsidR="003909EC" w:rsidRPr="00520B8F">
        <w:rPr>
          <w:rFonts w:ascii="Times New Roman" w:hAnsi="Times New Roman" w:cs="Times New Roman"/>
          <w:shd w:val="clear" w:color="auto" w:fill="FFFFFF"/>
        </w:rPr>
        <w:t xml:space="preserve"> these problems </w:t>
      </w:r>
      <w:r w:rsidR="00762BD5" w:rsidRPr="00520B8F">
        <w:rPr>
          <w:rFonts w:ascii="Times New Roman" w:hAnsi="Times New Roman" w:cs="Times New Roman"/>
          <w:shd w:val="clear" w:color="auto" w:fill="FFFFFF"/>
        </w:rPr>
        <w:t xml:space="preserve">that we have expressed throughout our work shows that the innovations brought by the legislation do not meet the expectations. Until recently, </w:t>
      </w:r>
      <w:r w:rsidR="003909EC" w:rsidRPr="00520B8F">
        <w:rPr>
          <w:rFonts w:ascii="Times New Roman" w:hAnsi="Times New Roman" w:cs="Times New Roman"/>
          <w:shd w:val="clear" w:color="auto" w:fill="FFFFFF"/>
        </w:rPr>
        <w:t>it was still a common</w:t>
      </w:r>
      <w:r w:rsidR="00762BD5" w:rsidRPr="00520B8F">
        <w:rPr>
          <w:rFonts w:ascii="Times New Roman" w:hAnsi="Times New Roman" w:cs="Times New Roman"/>
          <w:shd w:val="clear" w:color="auto" w:fill="FFFFFF"/>
        </w:rPr>
        <w:t xml:space="preserve"> practice </w:t>
      </w:r>
      <w:r w:rsidR="003909EC" w:rsidRPr="00520B8F">
        <w:rPr>
          <w:rFonts w:ascii="Times New Roman" w:hAnsi="Times New Roman" w:cs="Times New Roman"/>
          <w:shd w:val="clear" w:color="auto" w:fill="FFFFFF"/>
        </w:rPr>
        <w:t>to send</w:t>
      </w:r>
      <w:r w:rsidR="00762BD5" w:rsidRPr="00520B8F">
        <w:rPr>
          <w:rFonts w:ascii="Times New Roman" w:hAnsi="Times New Roman" w:cs="Times New Roman"/>
          <w:shd w:val="clear" w:color="auto" w:fill="FFFFFF"/>
        </w:rPr>
        <w:t xml:space="preserve"> thousands of files to a single expert. </w:t>
      </w:r>
      <w:r w:rsidR="003909EC" w:rsidRPr="00520B8F">
        <w:rPr>
          <w:rFonts w:ascii="Times New Roman" w:hAnsi="Times New Roman" w:cs="Times New Roman"/>
          <w:shd w:val="clear" w:color="auto" w:fill="FFFFFF"/>
        </w:rPr>
        <w:t>I</w:t>
      </w:r>
      <w:r w:rsidR="00762BD5" w:rsidRPr="00520B8F">
        <w:rPr>
          <w:rFonts w:ascii="Times New Roman" w:hAnsi="Times New Roman" w:cs="Times New Roman"/>
          <w:shd w:val="clear" w:color="auto" w:fill="FFFFFF"/>
        </w:rPr>
        <w:t>n the selection of the experts, distribution of the files and other procedural issues,</w:t>
      </w:r>
      <w:r w:rsidR="003909EC" w:rsidRPr="00520B8F">
        <w:rPr>
          <w:rFonts w:ascii="Times New Roman" w:hAnsi="Times New Roman" w:cs="Times New Roman"/>
          <w:shd w:val="clear" w:color="auto" w:fill="FFFFFF"/>
        </w:rPr>
        <w:t xml:space="preserve"> the problems continue, and</w:t>
      </w:r>
      <w:r w:rsidR="00762BD5" w:rsidRPr="00520B8F">
        <w:rPr>
          <w:rFonts w:ascii="Times New Roman" w:hAnsi="Times New Roman" w:cs="Times New Roman"/>
          <w:shd w:val="clear" w:color="auto" w:fill="FFFFFF"/>
        </w:rPr>
        <w:t xml:space="preserve"> it is seen that the reports are not satisfactory in terms of </w:t>
      </w:r>
      <w:r w:rsidR="00762BD5" w:rsidRPr="00520B8F">
        <w:rPr>
          <w:rFonts w:ascii="Times New Roman" w:hAnsi="Times New Roman" w:cs="Times New Roman"/>
          <w:shd w:val="clear" w:color="auto" w:fill="FFFFFF"/>
        </w:rPr>
        <w:lastRenderedPageBreak/>
        <w:t xml:space="preserve">content and that incomplete and erroneous evaluations are </w:t>
      </w:r>
      <w:r w:rsidR="003909EC" w:rsidRPr="00520B8F">
        <w:rPr>
          <w:rFonts w:ascii="Times New Roman" w:hAnsi="Times New Roman" w:cs="Times New Roman"/>
          <w:shd w:val="clear" w:color="auto" w:fill="FFFFFF"/>
        </w:rPr>
        <w:t>too common</w:t>
      </w:r>
      <w:r w:rsidR="00762BD5" w:rsidRPr="00520B8F">
        <w:rPr>
          <w:rFonts w:ascii="Times New Roman" w:hAnsi="Times New Roman" w:cs="Times New Roman"/>
          <w:shd w:val="clear" w:color="auto" w:fill="FFFFFF"/>
        </w:rPr>
        <w:t>.</w:t>
      </w:r>
      <w:r w:rsidR="003909EC" w:rsidRPr="00520B8F">
        <w:rPr>
          <w:rFonts w:ascii="Times New Roman" w:hAnsi="Times New Roman" w:cs="Times New Roman"/>
          <w:shd w:val="clear" w:color="auto" w:fill="FFFFFF"/>
        </w:rPr>
        <w:t>”</w:t>
      </w:r>
      <w:r w:rsidR="003909EC" w:rsidRPr="00520B8F">
        <w:rPr>
          <w:rStyle w:val="DipnotBavurusu"/>
          <w:rFonts w:ascii="Times New Roman" w:hAnsi="Times New Roman" w:cs="Times New Roman"/>
          <w:shd w:val="clear" w:color="auto" w:fill="FFFFFF"/>
        </w:rPr>
        <w:footnoteReference w:id="28"/>
      </w:r>
      <w:r w:rsidR="00C36C3D" w:rsidRPr="00520B8F">
        <w:rPr>
          <w:rFonts w:ascii="Times New Roman" w:hAnsi="Times New Roman" w:cs="Times New Roman"/>
          <w:shd w:val="clear" w:color="auto" w:fill="FFFFFF"/>
        </w:rPr>
        <w:t xml:space="preserve"> Another master's </w:t>
      </w:r>
      <w:r w:rsidR="00CF75C4" w:rsidRPr="00520B8F">
        <w:rPr>
          <w:rFonts w:ascii="Times New Roman" w:hAnsi="Times New Roman" w:cs="Times New Roman"/>
          <w:shd w:val="clear" w:color="auto" w:fill="FFFFFF"/>
        </w:rPr>
        <w:t>thesis accepted in 2019 includes</w:t>
      </w:r>
      <w:r w:rsidR="00C36C3D" w:rsidRPr="00520B8F">
        <w:rPr>
          <w:rFonts w:ascii="Times New Roman" w:hAnsi="Times New Roman" w:cs="Times New Roman"/>
          <w:shd w:val="clear" w:color="auto" w:fill="FFFFFF"/>
        </w:rPr>
        <w:t xml:space="preserve"> similar observations: “…Contrary to the nature of the legal expertise, it is used by the judges in order to eliminate the deficiencies caused by problems such as heavy workload and lack of knowledge, therefore, the desired benefit cannot be obtained from expertise. </w:t>
      </w:r>
      <w:r w:rsidR="00CF75C4" w:rsidRPr="00520B8F">
        <w:rPr>
          <w:rFonts w:ascii="Times New Roman" w:hAnsi="Times New Roman" w:cs="Times New Roman"/>
          <w:shd w:val="clear" w:color="auto" w:fill="FFFFFF"/>
        </w:rPr>
        <w:t>Exceeding the purpose of expertise, e</w:t>
      </w:r>
      <w:r w:rsidR="00C36C3D" w:rsidRPr="00520B8F">
        <w:rPr>
          <w:rFonts w:ascii="Times New Roman" w:hAnsi="Times New Roman" w:cs="Times New Roman"/>
          <w:shd w:val="clear" w:color="auto" w:fill="FFFFFF"/>
        </w:rPr>
        <w:t>xperts, who assist the judges in order to provide technical and special information they do not ha</w:t>
      </w:r>
      <w:r w:rsidR="00CF75C4" w:rsidRPr="00520B8F">
        <w:rPr>
          <w:rFonts w:ascii="Times New Roman" w:hAnsi="Times New Roman" w:cs="Times New Roman"/>
          <w:shd w:val="clear" w:color="auto" w:fill="FFFFFF"/>
        </w:rPr>
        <w:t>ve, are used by the judges as</w:t>
      </w:r>
      <w:r w:rsidR="00C36C3D" w:rsidRPr="00520B8F">
        <w:rPr>
          <w:rFonts w:ascii="Times New Roman" w:hAnsi="Times New Roman" w:cs="Times New Roman"/>
          <w:shd w:val="clear" w:color="auto" w:fill="FFFFFF"/>
        </w:rPr>
        <w:t xml:space="preserve"> assistant</w:t>
      </w:r>
      <w:r w:rsidR="00CF75C4" w:rsidRPr="00520B8F">
        <w:rPr>
          <w:rFonts w:ascii="Times New Roman" w:hAnsi="Times New Roman" w:cs="Times New Roman"/>
          <w:shd w:val="clear" w:color="auto" w:fill="FFFFFF"/>
        </w:rPr>
        <w:t>s</w:t>
      </w:r>
      <w:r w:rsidR="00C36C3D" w:rsidRPr="00520B8F">
        <w:rPr>
          <w:rFonts w:ascii="Times New Roman" w:hAnsi="Times New Roman" w:cs="Times New Roman"/>
          <w:shd w:val="clear" w:color="auto" w:fill="FFFFFF"/>
        </w:rPr>
        <w:t xml:space="preserve"> in all matte</w:t>
      </w:r>
      <w:r w:rsidR="00CF75C4" w:rsidRPr="00520B8F">
        <w:rPr>
          <w:rFonts w:ascii="Times New Roman" w:hAnsi="Times New Roman" w:cs="Times New Roman"/>
          <w:shd w:val="clear" w:color="auto" w:fill="FFFFFF"/>
        </w:rPr>
        <w:t>rs</w:t>
      </w:r>
      <w:r w:rsidR="00C36C3D" w:rsidRPr="00520B8F">
        <w:rPr>
          <w:rFonts w:ascii="Times New Roman" w:hAnsi="Times New Roman" w:cs="Times New Roman"/>
          <w:shd w:val="clear" w:color="auto" w:fill="FFFFFF"/>
        </w:rPr>
        <w:t xml:space="preserve">. </w:t>
      </w:r>
      <w:r w:rsidR="00CF75C4" w:rsidRPr="00520B8F">
        <w:rPr>
          <w:rFonts w:ascii="Times New Roman" w:hAnsi="Times New Roman" w:cs="Times New Roman"/>
          <w:shd w:val="clear" w:color="auto" w:fill="FFFFFF"/>
        </w:rPr>
        <w:t xml:space="preserve">Even the duties that require </w:t>
      </w:r>
      <w:r w:rsidR="00C36C3D" w:rsidRPr="00520B8F">
        <w:rPr>
          <w:rFonts w:ascii="Times New Roman" w:hAnsi="Times New Roman" w:cs="Times New Roman"/>
          <w:shd w:val="clear" w:color="auto" w:fill="FFFFFF"/>
        </w:rPr>
        <w:t>legal kn</w:t>
      </w:r>
      <w:r w:rsidR="00CF75C4" w:rsidRPr="00520B8F">
        <w:rPr>
          <w:rFonts w:ascii="Times New Roman" w:hAnsi="Times New Roman" w:cs="Times New Roman"/>
          <w:shd w:val="clear" w:color="auto" w:fill="FFFFFF"/>
        </w:rPr>
        <w:t>owledge and qualification are expected from</w:t>
      </w:r>
      <w:r w:rsidR="00C36C3D" w:rsidRPr="00520B8F">
        <w:rPr>
          <w:rFonts w:ascii="Times New Roman" w:hAnsi="Times New Roman" w:cs="Times New Roman"/>
          <w:shd w:val="clear" w:color="auto" w:fill="FFFFFF"/>
        </w:rPr>
        <w:t xml:space="preserve"> experts</w:t>
      </w:r>
      <w:r w:rsidR="00011D81" w:rsidRPr="00520B8F">
        <w:rPr>
          <w:rFonts w:ascii="Times New Roman" w:hAnsi="Times New Roman" w:cs="Times New Roman"/>
          <w:shd w:val="clear" w:color="auto" w:fill="FFFFFF"/>
        </w:rPr>
        <w:t>, and these</w:t>
      </w:r>
      <w:r w:rsidR="00C36C3D" w:rsidRPr="00520B8F">
        <w:rPr>
          <w:rFonts w:ascii="Times New Roman" w:hAnsi="Times New Roman" w:cs="Times New Roman"/>
          <w:shd w:val="clear" w:color="auto" w:fill="FFFFFF"/>
        </w:rPr>
        <w:t xml:space="preserve"> result</w:t>
      </w:r>
      <w:r w:rsidR="00CF75C4" w:rsidRPr="00520B8F">
        <w:rPr>
          <w:rFonts w:ascii="Times New Roman" w:hAnsi="Times New Roman" w:cs="Times New Roman"/>
          <w:shd w:val="clear" w:color="auto" w:fill="FFFFFF"/>
        </w:rPr>
        <w:t>s in</w:t>
      </w:r>
      <w:r w:rsidR="00C36C3D" w:rsidRPr="00520B8F">
        <w:rPr>
          <w:rFonts w:ascii="Times New Roman" w:hAnsi="Times New Roman" w:cs="Times New Roman"/>
          <w:shd w:val="clear" w:color="auto" w:fill="FFFFFF"/>
        </w:rPr>
        <w:t xml:space="preserve"> the transf</w:t>
      </w:r>
      <w:r w:rsidR="00CF75C4" w:rsidRPr="00520B8F">
        <w:rPr>
          <w:rFonts w:ascii="Times New Roman" w:hAnsi="Times New Roman" w:cs="Times New Roman"/>
          <w:shd w:val="clear" w:color="auto" w:fill="FFFFFF"/>
        </w:rPr>
        <w:t>er of jurisdiction. Although</w:t>
      </w:r>
      <w:r w:rsidR="00C36C3D" w:rsidRPr="00520B8F">
        <w:rPr>
          <w:rFonts w:ascii="Times New Roman" w:hAnsi="Times New Roman" w:cs="Times New Roman"/>
          <w:shd w:val="clear" w:color="auto" w:fill="FFFFFF"/>
        </w:rPr>
        <w:t xml:space="preserve"> new regulations and amendments introduced by the Law</w:t>
      </w:r>
      <w:r w:rsidR="00CF75C4" w:rsidRPr="00520B8F">
        <w:rPr>
          <w:rFonts w:ascii="Times New Roman" w:hAnsi="Times New Roman" w:cs="Times New Roman"/>
          <w:shd w:val="clear" w:color="auto" w:fill="FFFFFF"/>
        </w:rPr>
        <w:t xml:space="preserve"> on Expertise</w:t>
      </w:r>
      <w:r w:rsidR="00C36C3D" w:rsidRPr="00520B8F">
        <w:rPr>
          <w:rFonts w:ascii="Times New Roman" w:hAnsi="Times New Roman" w:cs="Times New Roman"/>
          <w:shd w:val="clear" w:color="auto" w:fill="FFFFFF"/>
        </w:rPr>
        <w:t xml:space="preserve"> are sufficient to </w:t>
      </w:r>
      <w:r w:rsidR="00CF75C4" w:rsidRPr="00520B8F">
        <w:rPr>
          <w:rFonts w:ascii="Times New Roman" w:hAnsi="Times New Roman" w:cs="Times New Roman"/>
          <w:shd w:val="clear" w:color="auto" w:fill="FFFFFF"/>
        </w:rPr>
        <w:t>take expertise to its desired position</w:t>
      </w:r>
      <w:r w:rsidR="00C36C3D" w:rsidRPr="00520B8F">
        <w:rPr>
          <w:rFonts w:ascii="Times New Roman" w:hAnsi="Times New Roman" w:cs="Times New Roman"/>
          <w:shd w:val="clear" w:color="auto" w:fill="FFFFFF"/>
        </w:rPr>
        <w:t xml:space="preserve">, the problems from the past still continue in practice. Practices </w:t>
      </w:r>
      <w:r w:rsidR="00CF75C4" w:rsidRPr="00520B8F">
        <w:rPr>
          <w:rFonts w:ascii="Times New Roman" w:hAnsi="Times New Roman" w:cs="Times New Roman"/>
          <w:shd w:val="clear" w:color="auto" w:fill="FFFFFF"/>
        </w:rPr>
        <w:t>such as expecting</w:t>
      </w:r>
      <w:r w:rsidR="00C36C3D" w:rsidRPr="00520B8F">
        <w:rPr>
          <w:rFonts w:ascii="Times New Roman" w:hAnsi="Times New Roman" w:cs="Times New Roman"/>
          <w:shd w:val="clear" w:color="auto" w:fill="FFFFFF"/>
        </w:rPr>
        <w:t xml:space="preserve"> reports on legal matters, appointing lawyers as experts, and </w:t>
      </w:r>
      <w:r w:rsidR="00CF75C4" w:rsidRPr="00520B8F">
        <w:rPr>
          <w:rFonts w:ascii="Times New Roman" w:hAnsi="Times New Roman" w:cs="Times New Roman"/>
          <w:shd w:val="clear" w:color="auto" w:fill="FFFFFF"/>
        </w:rPr>
        <w:t>inability</w:t>
      </w:r>
      <w:r w:rsidR="00C36C3D" w:rsidRPr="00520B8F">
        <w:rPr>
          <w:rFonts w:ascii="Times New Roman" w:hAnsi="Times New Roman" w:cs="Times New Roman"/>
          <w:shd w:val="clear" w:color="auto" w:fill="FFFFFF"/>
        </w:rPr>
        <w:t xml:space="preserve"> to make a judgment contrary to the expert report show us that the solution lies not in the legislative changes, but in changing the understanding of the practitioners.</w:t>
      </w:r>
      <w:r w:rsidR="00CF75C4" w:rsidRPr="00520B8F">
        <w:rPr>
          <w:rFonts w:ascii="Times New Roman" w:hAnsi="Times New Roman" w:cs="Times New Roman"/>
          <w:shd w:val="clear" w:color="auto" w:fill="FFFFFF"/>
        </w:rPr>
        <w:t>”</w:t>
      </w:r>
      <w:r w:rsidR="00CF75C4" w:rsidRPr="00520B8F">
        <w:rPr>
          <w:rStyle w:val="DipnotBavurusu"/>
          <w:rFonts w:ascii="Times New Roman" w:hAnsi="Times New Roman" w:cs="Times New Roman"/>
          <w:shd w:val="clear" w:color="auto" w:fill="FFFFFF"/>
        </w:rPr>
        <w:footnoteReference w:id="29"/>
      </w:r>
      <w:r w:rsidR="00C36C3D" w:rsidRPr="00520B8F">
        <w:rPr>
          <w:rFonts w:ascii="Times New Roman" w:hAnsi="Times New Roman" w:cs="Times New Roman"/>
          <w:shd w:val="clear" w:color="auto" w:fill="FFFFFF"/>
        </w:rPr>
        <w:t xml:space="preserve"> </w:t>
      </w:r>
      <w:r w:rsidR="00CF75C4" w:rsidRPr="00520B8F">
        <w:rPr>
          <w:rFonts w:ascii="Times New Roman" w:hAnsi="Times New Roman" w:cs="Times New Roman"/>
          <w:shd w:val="clear" w:color="auto" w:fill="FFFFFF"/>
        </w:rPr>
        <w:t>In a thesis</w:t>
      </w:r>
      <w:r w:rsidR="00024996" w:rsidRPr="00520B8F">
        <w:rPr>
          <w:rFonts w:ascii="Times New Roman" w:hAnsi="Times New Roman" w:cs="Times New Roman"/>
          <w:shd w:val="clear" w:color="auto" w:fill="FFFFFF"/>
        </w:rPr>
        <w:t xml:space="preserve"> in medicine</w:t>
      </w:r>
      <w:r w:rsidR="00CF75C4" w:rsidRPr="00520B8F">
        <w:rPr>
          <w:rFonts w:ascii="Times New Roman" w:hAnsi="Times New Roman" w:cs="Times New Roman"/>
          <w:shd w:val="clear" w:color="auto" w:fill="FFFFFF"/>
        </w:rPr>
        <w:t xml:space="preserve"> accepted in 2019, it was pointed out that there were no standards regarding expert reports, and that there were delays and incomplete examinations caused by experts.</w:t>
      </w:r>
      <w:r w:rsidR="00024996" w:rsidRPr="00520B8F">
        <w:rPr>
          <w:rStyle w:val="DipnotBavurusu"/>
          <w:rFonts w:ascii="Times New Roman" w:hAnsi="Times New Roman" w:cs="Times New Roman"/>
          <w:shd w:val="clear" w:color="auto" w:fill="FFFFFF"/>
        </w:rPr>
        <w:footnoteReference w:id="30"/>
      </w:r>
      <w:r w:rsidR="008541FC" w:rsidRPr="00520B8F">
        <w:rPr>
          <w:rFonts w:ascii="Times New Roman" w:hAnsi="Times New Roman" w:cs="Times New Roman"/>
          <w:shd w:val="clear" w:color="auto" w:fill="FFFFFF"/>
        </w:rPr>
        <w:t xml:space="preserve"> On the website of the </w:t>
      </w:r>
      <w:r w:rsidR="004B61D7" w:rsidRPr="00520B8F">
        <w:rPr>
          <w:rFonts w:ascii="Times New Roman" w:hAnsi="Times New Roman" w:cs="Times New Roman"/>
          <w:shd w:val="clear" w:color="auto" w:fill="FFFFFF"/>
        </w:rPr>
        <w:t xml:space="preserve">Department of </w:t>
      </w:r>
      <w:r w:rsidR="008541FC" w:rsidRPr="00520B8F">
        <w:rPr>
          <w:rFonts w:ascii="Times New Roman" w:hAnsi="Times New Roman" w:cs="Times New Roman"/>
          <w:shd w:val="clear" w:color="auto" w:fill="FFFFFF"/>
        </w:rPr>
        <w:t>Expertise, between 2017 and 2021, 42 experts were warned for various reasons</w:t>
      </w:r>
      <w:r w:rsidR="008541FC" w:rsidRPr="00520B8F">
        <w:rPr>
          <w:rStyle w:val="DipnotBavurusu"/>
          <w:rFonts w:ascii="Times New Roman" w:hAnsi="Times New Roman" w:cs="Times New Roman"/>
          <w:shd w:val="clear" w:color="auto" w:fill="FFFFFF"/>
        </w:rPr>
        <w:footnoteReference w:id="31"/>
      </w:r>
      <w:r w:rsidR="008541FC" w:rsidRPr="00520B8F">
        <w:rPr>
          <w:rFonts w:ascii="Times New Roman" w:hAnsi="Times New Roman" w:cs="Times New Roman"/>
          <w:shd w:val="clear" w:color="auto" w:fill="FFFFFF"/>
        </w:rPr>
        <w:t>; 90 experts were removed from the expert list temporarily</w:t>
      </w:r>
      <w:r w:rsidR="008541FC" w:rsidRPr="00520B8F">
        <w:rPr>
          <w:rStyle w:val="DipnotBavurusu"/>
          <w:rFonts w:ascii="Times New Roman" w:hAnsi="Times New Roman" w:cs="Times New Roman"/>
          <w:shd w:val="clear" w:color="auto" w:fill="FFFFFF"/>
        </w:rPr>
        <w:footnoteReference w:id="32"/>
      </w:r>
      <w:r w:rsidR="008541FC" w:rsidRPr="00520B8F">
        <w:rPr>
          <w:rFonts w:ascii="Times New Roman" w:hAnsi="Times New Roman" w:cs="Times New Roman"/>
          <w:shd w:val="clear" w:color="auto" w:fill="FFFFFF"/>
        </w:rPr>
        <w:t>; 195 experts were removed from the expert list</w:t>
      </w:r>
      <w:r w:rsidR="008541FC" w:rsidRPr="00520B8F">
        <w:rPr>
          <w:rStyle w:val="DipnotBavurusu"/>
          <w:rFonts w:ascii="Times New Roman" w:hAnsi="Times New Roman" w:cs="Times New Roman"/>
          <w:shd w:val="clear" w:color="auto" w:fill="FFFFFF"/>
        </w:rPr>
        <w:footnoteReference w:id="33"/>
      </w:r>
      <w:r w:rsidR="008541FC" w:rsidRPr="00520B8F">
        <w:rPr>
          <w:rFonts w:ascii="Times New Roman" w:hAnsi="Times New Roman" w:cs="Times New Roman"/>
          <w:shd w:val="clear" w:color="auto" w:fill="FFFFFF"/>
        </w:rPr>
        <w:t>; and 14 experts were banned from working as experts</w:t>
      </w:r>
      <w:r w:rsidR="008541FC" w:rsidRPr="00520B8F">
        <w:rPr>
          <w:rStyle w:val="DipnotBavurusu"/>
          <w:rFonts w:ascii="Times New Roman" w:hAnsi="Times New Roman" w:cs="Times New Roman"/>
          <w:shd w:val="clear" w:color="auto" w:fill="FFFFFF"/>
        </w:rPr>
        <w:footnoteReference w:id="34"/>
      </w:r>
      <w:r w:rsidR="008541FC" w:rsidRPr="00520B8F">
        <w:rPr>
          <w:rFonts w:ascii="Times New Roman" w:hAnsi="Times New Roman" w:cs="Times New Roman"/>
          <w:shd w:val="clear" w:color="auto" w:fill="FFFFFF"/>
        </w:rPr>
        <w:t xml:space="preserve">. On the other hand, according to the Forensic Statistics for 2020, there are 65,824 files </w:t>
      </w:r>
      <w:r w:rsidR="78C12286" w:rsidRPr="00520B8F">
        <w:rPr>
          <w:rFonts w:ascii="Times New Roman" w:hAnsi="Times New Roman" w:cs="Times New Roman"/>
          <w:shd w:val="clear" w:color="auto" w:fill="FFFFFF"/>
        </w:rPr>
        <w:t>pending before</w:t>
      </w:r>
      <w:r w:rsidR="008541FC" w:rsidRPr="00520B8F">
        <w:rPr>
          <w:rFonts w:ascii="Times New Roman" w:hAnsi="Times New Roman" w:cs="Times New Roman"/>
          <w:shd w:val="clear" w:color="auto" w:fill="FFFFFF"/>
        </w:rPr>
        <w:t xml:space="preserve"> of the Forensic Medicine Institute Specialization Boards and 527,114 files </w:t>
      </w:r>
      <w:r w:rsidR="57A94428" w:rsidRPr="00520B8F">
        <w:rPr>
          <w:rFonts w:ascii="Times New Roman" w:hAnsi="Times New Roman" w:cs="Times New Roman"/>
          <w:shd w:val="clear" w:color="auto" w:fill="FFFFFF"/>
        </w:rPr>
        <w:t>pending before</w:t>
      </w:r>
      <w:r w:rsidR="008541FC" w:rsidRPr="00520B8F">
        <w:rPr>
          <w:rFonts w:ascii="Times New Roman" w:hAnsi="Times New Roman" w:cs="Times New Roman"/>
          <w:shd w:val="clear" w:color="auto" w:fill="FFFFFF"/>
        </w:rPr>
        <w:t xml:space="preserve"> of the Forensic Medicine Institute Specialization Departments.</w:t>
      </w:r>
      <w:r w:rsidR="008541FC" w:rsidRPr="00520B8F">
        <w:rPr>
          <w:rStyle w:val="DipnotBavurusu"/>
          <w:rFonts w:ascii="Times New Roman" w:hAnsi="Times New Roman" w:cs="Times New Roman"/>
          <w:shd w:val="clear" w:color="auto" w:fill="FFFFFF"/>
        </w:rPr>
        <w:footnoteReference w:id="35"/>
      </w:r>
      <w:r w:rsidR="008541FC" w:rsidRPr="00520B8F">
        <w:rPr>
          <w:rFonts w:ascii="Times New Roman" w:hAnsi="Times New Roman" w:cs="Times New Roman"/>
          <w:shd w:val="clear" w:color="auto" w:fill="FFFFFF"/>
        </w:rPr>
        <w:t xml:space="preserve"> It is clear that the personnel capacity of the institution is far below this workload.</w:t>
      </w:r>
    </w:p>
    <w:p w14:paraId="4D787F4A" w14:textId="77777777" w:rsidR="00C83D4F" w:rsidRPr="00520B8F" w:rsidRDefault="00C83D4F" w:rsidP="009124AD">
      <w:pPr>
        <w:jc w:val="both"/>
        <w:rPr>
          <w:rFonts w:ascii="Times New Roman" w:hAnsi="Times New Roman" w:cs="Times New Roman"/>
          <w:shd w:val="clear" w:color="auto" w:fill="FFFFFF"/>
        </w:rPr>
      </w:pPr>
    </w:p>
    <w:p w14:paraId="0A103AEF" w14:textId="77777777" w:rsidR="00C83D4F" w:rsidRPr="00520B8F" w:rsidRDefault="00C83D4F"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2.2.1. Delays encountered in the submission of medical reports</w:t>
      </w:r>
    </w:p>
    <w:p w14:paraId="22B80E7B" w14:textId="77777777" w:rsidR="00C83D4F" w:rsidRPr="00520B8F" w:rsidRDefault="00C83D4F" w:rsidP="009124AD">
      <w:pPr>
        <w:jc w:val="both"/>
        <w:rPr>
          <w:rFonts w:ascii="Times New Roman" w:hAnsi="Times New Roman" w:cs="Times New Roman"/>
          <w:shd w:val="clear" w:color="auto" w:fill="FFFFFF"/>
        </w:rPr>
      </w:pPr>
    </w:p>
    <w:p w14:paraId="2BB1A9C8" w14:textId="1971E93D" w:rsidR="00C83D4F" w:rsidRPr="00520B8F" w:rsidRDefault="000C2455" w:rsidP="009124AD">
      <w:pPr>
        <w:jc w:val="both"/>
        <w:rPr>
          <w:rFonts w:ascii="Times New Roman" w:hAnsi="Times New Roman" w:cs="Times New Roman"/>
          <w:shd w:val="clear" w:color="auto" w:fill="FFFFFF"/>
        </w:rPr>
      </w:pPr>
      <w:r w:rsidRPr="00520B8F">
        <w:rPr>
          <w:rFonts w:ascii="Times New Roman" w:hAnsi="Times New Roman" w:cs="Times New Roman"/>
          <w:shd w:val="clear" w:color="auto" w:fill="FFFFFF"/>
        </w:rPr>
        <w:t>21. In paragraphs 107 to 116</w:t>
      </w:r>
      <w:r w:rsidR="00C83D4F" w:rsidRPr="00520B8F">
        <w:rPr>
          <w:rFonts w:ascii="Times New Roman" w:hAnsi="Times New Roman" w:cs="Times New Roman"/>
          <w:shd w:val="clear" w:color="auto" w:fill="FFFFFF"/>
        </w:rPr>
        <w:t xml:space="preserve"> of the Government's opinion, information is given about the regulations and practices regarding expert reports in cases related to medical negligence. Problems arising from the delay of expert reports in cases related to medical negligence continue. It is a positive development that the Constitutional Court canceled the legislation requiring reports only from the Supreme Health Council. However, the problems did not disappear with this step</w:t>
      </w:r>
      <w:r w:rsidR="00F20FEB" w:rsidRPr="00520B8F">
        <w:rPr>
          <w:rFonts w:ascii="Times New Roman" w:hAnsi="Times New Roman" w:cs="Times New Roman"/>
          <w:shd w:val="clear" w:color="auto" w:fill="FFFFFF"/>
        </w:rPr>
        <w:t xml:space="preserve">. </w:t>
      </w:r>
      <w:proofErr w:type="gramStart"/>
      <w:r w:rsidR="5E84E03F" w:rsidRPr="00520B8F">
        <w:rPr>
          <w:rFonts w:ascii="Times New Roman" w:hAnsi="Times New Roman" w:cs="Times New Roman"/>
          <w:shd w:val="clear" w:color="auto" w:fill="FFFFFF"/>
        </w:rPr>
        <w:t>A</w:t>
      </w:r>
      <w:r w:rsidR="00F20FEB" w:rsidRPr="00520B8F">
        <w:rPr>
          <w:rFonts w:ascii="Times New Roman" w:hAnsi="Times New Roman" w:cs="Times New Roman"/>
          <w:shd w:val="clear" w:color="auto" w:fill="FFFFFF"/>
        </w:rPr>
        <w:t>rticle 20 of the Forensic Medicine Institute Law Implementation Regulation</w:t>
      </w:r>
      <w:r w:rsidR="5F139F82" w:rsidRPr="00520B8F">
        <w:rPr>
          <w:rFonts w:ascii="Times New Roman" w:hAnsi="Times New Roman" w:cs="Times New Roman"/>
          <w:shd w:val="clear" w:color="auto" w:fill="FFFFFF"/>
        </w:rPr>
        <w:t>, which concerns the files which should be prioritized,</w:t>
      </w:r>
      <w:r w:rsidR="00F20FEB" w:rsidRPr="00520B8F">
        <w:rPr>
          <w:rFonts w:ascii="Times New Roman" w:hAnsi="Times New Roman" w:cs="Times New Roman"/>
          <w:shd w:val="clear" w:color="auto" w:fill="FFFFFF"/>
        </w:rPr>
        <w:t xml:space="preserve"> does not include</w:t>
      </w:r>
      <w:r w:rsidR="00F425F5" w:rsidRPr="00520B8F">
        <w:rPr>
          <w:rFonts w:ascii="Times New Roman" w:hAnsi="Times New Roman" w:cs="Times New Roman"/>
          <w:shd w:val="clear" w:color="auto" w:fill="FFFFFF"/>
        </w:rPr>
        <w:t xml:space="preserve"> any</w:t>
      </w:r>
      <w:r w:rsidR="00C83D4F" w:rsidRPr="00520B8F">
        <w:rPr>
          <w:rFonts w:ascii="Times New Roman" w:hAnsi="Times New Roman" w:cs="Times New Roman"/>
          <w:shd w:val="clear" w:color="auto" w:fill="FFFFFF"/>
        </w:rPr>
        <w:t xml:space="preserve"> cases arising from medical negligence.</w:t>
      </w:r>
      <w:proofErr w:type="gramEnd"/>
      <w:r w:rsidR="00F425F5" w:rsidRPr="00520B8F">
        <w:rPr>
          <w:rStyle w:val="DipnotBavurusu"/>
          <w:rFonts w:ascii="Times New Roman" w:hAnsi="Times New Roman" w:cs="Times New Roman"/>
          <w:shd w:val="clear" w:color="auto" w:fill="FFFFFF"/>
        </w:rPr>
        <w:footnoteReference w:id="36"/>
      </w:r>
      <w:r w:rsidR="00C83D4F" w:rsidRPr="00520B8F">
        <w:rPr>
          <w:rFonts w:ascii="Times New Roman" w:hAnsi="Times New Roman" w:cs="Times New Roman"/>
          <w:shd w:val="clear" w:color="auto" w:fill="FFFFFF"/>
        </w:rPr>
        <w:t xml:space="preserve"> When evaluating the time </w:t>
      </w:r>
      <w:r w:rsidR="343654B5" w:rsidRPr="00520B8F">
        <w:rPr>
          <w:rFonts w:ascii="Times New Roman" w:hAnsi="Times New Roman" w:cs="Times New Roman"/>
          <w:shd w:val="clear" w:color="auto" w:fill="FFFFFF"/>
        </w:rPr>
        <w:t xml:space="preserve">needed </w:t>
      </w:r>
      <w:r w:rsidR="00C83D4F" w:rsidRPr="00520B8F">
        <w:rPr>
          <w:rFonts w:ascii="Times New Roman" w:hAnsi="Times New Roman" w:cs="Times New Roman"/>
          <w:shd w:val="clear" w:color="auto" w:fill="FFFFFF"/>
        </w:rPr>
        <w:t xml:space="preserve">to prepare a report on a </w:t>
      </w:r>
      <w:r w:rsidR="00C83D4F" w:rsidRPr="00520B8F">
        <w:rPr>
          <w:rFonts w:ascii="Times New Roman" w:hAnsi="Times New Roman" w:cs="Times New Roman"/>
          <w:shd w:val="clear" w:color="auto" w:fill="FFFFFF"/>
        </w:rPr>
        <w:lastRenderedPageBreak/>
        <w:t xml:space="preserve">file in the Forensic Medicine Institute, it </w:t>
      </w:r>
      <w:r w:rsidR="00F425F5" w:rsidRPr="00520B8F">
        <w:rPr>
          <w:rFonts w:ascii="Times New Roman" w:hAnsi="Times New Roman" w:cs="Times New Roman"/>
          <w:shd w:val="clear" w:color="auto" w:fill="FFFFFF"/>
        </w:rPr>
        <w:t>has to be considered</w:t>
      </w:r>
      <w:r w:rsidR="00C83D4F" w:rsidRPr="00520B8F">
        <w:rPr>
          <w:rFonts w:ascii="Times New Roman" w:hAnsi="Times New Roman" w:cs="Times New Roman"/>
          <w:shd w:val="clear" w:color="auto" w:fill="FFFFFF"/>
        </w:rPr>
        <w:t xml:space="preserve"> that a re-evaluation should be made for reasons such as getting a report upon the objection of the parties, getting a report due to the contradictions between the reports received from other institutions, </w:t>
      </w:r>
      <w:r w:rsidR="00F425F5" w:rsidRPr="00520B8F">
        <w:rPr>
          <w:rFonts w:ascii="Times New Roman" w:hAnsi="Times New Roman" w:cs="Times New Roman"/>
          <w:shd w:val="clear" w:color="auto" w:fill="FFFFFF"/>
        </w:rPr>
        <w:t xml:space="preserve">and </w:t>
      </w:r>
      <w:r w:rsidR="00C83D4F" w:rsidRPr="00520B8F">
        <w:rPr>
          <w:rFonts w:ascii="Times New Roman" w:hAnsi="Times New Roman" w:cs="Times New Roman"/>
          <w:shd w:val="clear" w:color="auto" w:fill="FFFFFF"/>
        </w:rPr>
        <w:t xml:space="preserve">re-reporting on the reversal </w:t>
      </w:r>
      <w:r w:rsidR="004B61D7" w:rsidRPr="00520B8F">
        <w:rPr>
          <w:rFonts w:ascii="Times New Roman" w:hAnsi="Times New Roman" w:cs="Times New Roman"/>
          <w:shd w:val="clear" w:color="auto" w:fill="FFFFFF"/>
        </w:rPr>
        <w:t xml:space="preserve">and retrial </w:t>
      </w:r>
      <w:r w:rsidR="00C83D4F" w:rsidRPr="00520B8F">
        <w:rPr>
          <w:rFonts w:ascii="Times New Roman" w:hAnsi="Times New Roman" w:cs="Times New Roman"/>
          <w:shd w:val="clear" w:color="auto" w:fill="FFFFFF"/>
        </w:rPr>
        <w:t>decisions of the Courts of Ap</w:t>
      </w:r>
      <w:r w:rsidR="00F425F5" w:rsidRPr="00520B8F">
        <w:rPr>
          <w:rFonts w:ascii="Times New Roman" w:hAnsi="Times New Roman" w:cs="Times New Roman"/>
          <w:shd w:val="clear" w:color="auto" w:fill="FFFFFF"/>
        </w:rPr>
        <w:t>peal and the Court of Cassation</w:t>
      </w:r>
      <w:r w:rsidR="00C83D4F" w:rsidRPr="00520B8F">
        <w:rPr>
          <w:rFonts w:ascii="Times New Roman" w:hAnsi="Times New Roman" w:cs="Times New Roman"/>
          <w:shd w:val="clear" w:color="auto" w:fill="FFFFFF"/>
        </w:rPr>
        <w:t xml:space="preserve">. Statistics on the number of times a report is received </w:t>
      </w:r>
      <w:r w:rsidR="00F425F5" w:rsidRPr="00520B8F">
        <w:rPr>
          <w:rFonts w:ascii="Times New Roman" w:hAnsi="Times New Roman" w:cs="Times New Roman"/>
          <w:shd w:val="clear" w:color="auto" w:fill="FFFFFF"/>
        </w:rPr>
        <w:t>for a case</w:t>
      </w:r>
      <w:r w:rsidR="00C83D4F" w:rsidRPr="00520B8F">
        <w:rPr>
          <w:rFonts w:ascii="Times New Roman" w:hAnsi="Times New Roman" w:cs="Times New Roman"/>
          <w:shd w:val="clear" w:color="auto" w:fill="FFFFFF"/>
        </w:rPr>
        <w:t xml:space="preserve"> and </w:t>
      </w:r>
      <w:r w:rsidR="00F425F5" w:rsidRPr="00520B8F">
        <w:rPr>
          <w:rFonts w:ascii="Times New Roman" w:hAnsi="Times New Roman" w:cs="Times New Roman"/>
          <w:shd w:val="clear" w:color="auto" w:fill="FFFFFF"/>
        </w:rPr>
        <w:t xml:space="preserve">on </w:t>
      </w:r>
      <w:r w:rsidR="00C83D4F" w:rsidRPr="00520B8F">
        <w:rPr>
          <w:rFonts w:ascii="Times New Roman" w:hAnsi="Times New Roman" w:cs="Times New Roman"/>
          <w:shd w:val="clear" w:color="auto" w:fill="FFFFFF"/>
        </w:rPr>
        <w:t xml:space="preserve">the report preparation times are not shared. </w:t>
      </w:r>
    </w:p>
    <w:p w14:paraId="2F91AEBD" w14:textId="77777777" w:rsidR="00F425F5" w:rsidRPr="00520B8F" w:rsidRDefault="00F425F5" w:rsidP="009124AD">
      <w:pPr>
        <w:jc w:val="both"/>
        <w:rPr>
          <w:rFonts w:ascii="Times New Roman" w:hAnsi="Times New Roman" w:cs="Times New Roman"/>
          <w:shd w:val="clear" w:color="auto" w:fill="FFFFFF"/>
        </w:rPr>
      </w:pPr>
    </w:p>
    <w:p w14:paraId="112C1882" w14:textId="33DCA600" w:rsidR="00F425F5" w:rsidRPr="00520B8F" w:rsidRDefault="00F425F5" w:rsidP="533F4A94">
      <w:pPr>
        <w:jc w:val="both"/>
        <w:rPr>
          <w:rFonts w:ascii="Times New Roman" w:hAnsi="Times New Roman" w:cs="Times New Roman"/>
        </w:rPr>
      </w:pPr>
      <w:r w:rsidRPr="00520B8F">
        <w:rPr>
          <w:rFonts w:ascii="Times New Roman" w:hAnsi="Times New Roman" w:cs="Times New Roman"/>
          <w:shd w:val="clear" w:color="auto" w:fill="FFFFFF"/>
        </w:rPr>
        <w:t xml:space="preserve">22. </w:t>
      </w:r>
      <w:r w:rsidR="002C2583" w:rsidRPr="00520B8F">
        <w:rPr>
          <w:rFonts w:ascii="Times New Roman" w:hAnsi="Times New Roman" w:cs="Times New Roman"/>
          <w:shd w:val="clear" w:color="auto" w:fill="FFFFFF"/>
        </w:rPr>
        <w:t xml:space="preserve">Court decisions show that the reporting processes in the Forensic Medicine Institute </w:t>
      </w:r>
      <w:r w:rsidR="00F91248" w:rsidRPr="00520B8F">
        <w:rPr>
          <w:rFonts w:ascii="Times New Roman" w:hAnsi="Times New Roman" w:cs="Times New Roman"/>
          <w:shd w:val="clear" w:color="auto" w:fill="FFFFFF"/>
        </w:rPr>
        <w:t>take</w:t>
      </w:r>
      <w:r w:rsidR="002C2583" w:rsidRPr="00520B8F">
        <w:rPr>
          <w:rFonts w:ascii="Times New Roman" w:hAnsi="Times New Roman" w:cs="Times New Roman"/>
          <w:shd w:val="clear" w:color="auto" w:fill="FFFFFF"/>
        </w:rPr>
        <w:t xml:space="preserve"> years.</w:t>
      </w:r>
      <w:r w:rsidR="00F91248" w:rsidRPr="00520B8F">
        <w:rPr>
          <w:rFonts w:ascii="Times New Roman" w:hAnsi="Times New Roman" w:cs="Times New Roman"/>
          <w:shd w:val="clear" w:color="auto" w:fill="FFFFFF"/>
        </w:rPr>
        <w:t xml:space="preserve"> In the decision E:2018/2025 K:2020/844 of the 4th Civil Chamber of the </w:t>
      </w:r>
      <w:r w:rsidR="00A92283" w:rsidRPr="00520B8F">
        <w:rPr>
          <w:rFonts w:ascii="Times New Roman" w:hAnsi="Times New Roman" w:cs="Times New Roman"/>
          <w:shd w:val="clear" w:color="auto" w:fill="FFFFFF"/>
        </w:rPr>
        <w:t>Court of Cassation,</w:t>
      </w:r>
      <w:r w:rsidR="00F91248" w:rsidRPr="00520B8F">
        <w:rPr>
          <w:rFonts w:ascii="Times New Roman" w:hAnsi="Times New Roman" w:cs="Times New Roman"/>
          <w:shd w:val="clear" w:color="auto" w:fill="FFFFFF"/>
        </w:rPr>
        <w:t xml:space="preserve"> </w:t>
      </w:r>
      <w:r w:rsidR="00812164" w:rsidRPr="00520B8F">
        <w:rPr>
          <w:rFonts w:ascii="Times New Roman" w:hAnsi="Times New Roman" w:cs="Times New Roman"/>
          <w:shd w:val="clear" w:color="auto" w:fill="FFFFFF"/>
        </w:rPr>
        <w:t xml:space="preserve">it is stated that </w:t>
      </w:r>
      <w:r w:rsidR="00F91248" w:rsidRPr="00520B8F">
        <w:rPr>
          <w:rFonts w:ascii="Times New Roman" w:hAnsi="Times New Roman" w:cs="Times New Roman"/>
          <w:shd w:val="clear" w:color="auto" w:fill="FFFFFF"/>
        </w:rPr>
        <w:t xml:space="preserve">“…the report dated </w:t>
      </w:r>
      <w:r w:rsidR="00812164" w:rsidRPr="00520B8F">
        <w:rPr>
          <w:rFonts w:ascii="Times New Roman" w:hAnsi="Times New Roman" w:cs="Times New Roman"/>
          <w:shd w:val="clear" w:color="auto" w:fill="FFFFFF"/>
        </w:rPr>
        <w:t>September 26</w:t>
      </w:r>
      <w:r w:rsidR="00812164" w:rsidRPr="00520B8F">
        <w:rPr>
          <w:rFonts w:ascii="Times New Roman" w:hAnsi="Times New Roman" w:cs="Times New Roman"/>
          <w:shd w:val="clear" w:color="auto" w:fill="FFFFFF"/>
          <w:vertAlign w:val="superscript"/>
        </w:rPr>
        <w:t>th</w:t>
      </w:r>
      <w:r w:rsidR="00812164" w:rsidRPr="00520B8F">
        <w:rPr>
          <w:rFonts w:ascii="Times New Roman" w:hAnsi="Times New Roman" w:cs="Times New Roman"/>
          <w:shd w:val="clear" w:color="auto" w:fill="FFFFFF"/>
        </w:rPr>
        <w:t xml:space="preserve">, </w:t>
      </w:r>
      <w:r w:rsidR="00F91248" w:rsidRPr="00520B8F">
        <w:rPr>
          <w:rFonts w:ascii="Times New Roman" w:hAnsi="Times New Roman" w:cs="Times New Roman"/>
          <w:shd w:val="clear" w:color="auto" w:fill="FFFFFF"/>
        </w:rPr>
        <w:t xml:space="preserve">2016 received by the relevant court from </w:t>
      </w:r>
      <w:r w:rsidR="00812164" w:rsidRPr="00520B8F">
        <w:rPr>
          <w:rFonts w:ascii="Times New Roman" w:hAnsi="Times New Roman" w:cs="Times New Roman"/>
          <w:shd w:val="clear" w:color="auto" w:fill="FFFFFF"/>
        </w:rPr>
        <w:t>the Forensic Medicine Institute shows that</w:t>
      </w:r>
      <w:r w:rsidR="00F91248" w:rsidRPr="00520B8F">
        <w:rPr>
          <w:rFonts w:ascii="Times New Roman" w:hAnsi="Times New Roman" w:cs="Times New Roman"/>
          <w:shd w:val="clear" w:color="auto" w:fill="FFFFFF"/>
        </w:rPr>
        <w:t xml:space="preserve"> the report of the Forensic Medicine Institute dated </w:t>
      </w:r>
      <w:r w:rsidR="00812164" w:rsidRPr="00520B8F">
        <w:rPr>
          <w:rFonts w:ascii="Times New Roman" w:hAnsi="Times New Roman" w:cs="Times New Roman"/>
          <w:shd w:val="clear" w:color="auto" w:fill="FFFFFF"/>
        </w:rPr>
        <w:t>January 22</w:t>
      </w:r>
      <w:r w:rsidR="00812164" w:rsidRPr="00520B8F">
        <w:rPr>
          <w:rFonts w:ascii="Times New Roman" w:hAnsi="Times New Roman" w:cs="Times New Roman"/>
          <w:shd w:val="clear" w:color="auto" w:fill="FFFFFF"/>
          <w:vertAlign w:val="superscript"/>
        </w:rPr>
        <w:t>nd</w:t>
      </w:r>
      <w:r w:rsidR="00812164" w:rsidRPr="00520B8F">
        <w:rPr>
          <w:rFonts w:ascii="Times New Roman" w:hAnsi="Times New Roman" w:cs="Times New Roman"/>
          <w:shd w:val="clear" w:color="auto" w:fill="FFFFFF"/>
        </w:rPr>
        <w:t xml:space="preserve">, </w:t>
      </w:r>
      <w:r w:rsidR="00F91248" w:rsidRPr="00520B8F">
        <w:rPr>
          <w:rFonts w:ascii="Times New Roman" w:hAnsi="Times New Roman" w:cs="Times New Roman"/>
          <w:shd w:val="clear" w:color="auto" w:fill="FFFFFF"/>
        </w:rPr>
        <w:t>2016, the disability rate of the plaintiff was determined as 20.2%, but there was no causal link between the cer</w:t>
      </w:r>
      <w:r w:rsidR="00812164" w:rsidRPr="00520B8F">
        <w:rPr>
          <w:rFonts w:ascii="Times New Roman" w:hAnsi="Times New Roman" w:cs="Times New Roman"/>
          <w:shd w:val="clear" w:color="auto" w:fill="FFFFFF"/>
        </w:rPr>
        <w:t>vical vertebra</w:t>
      </w:r>
      <w:r w:rsidR="00F91248" w:rsidRPr="00520B8F">
        <w:rPr>
          <w:rFonts w:ascii="Times New Roman" w:hAnsi="Times New Roman" w:cs="Times New Roman"/>
          <w:shd w:val="clear" w:color="auto" w:fill="FFFFFF"/>
        </w:rPr>
        <w:t>e</w:t>
      </w:r>
      <w:r w:rsidR="00812164" w:rsidRPr="00520B8F">
        <w:rPr>
          <w:rFonts w:ascii="Times New Roman" w:hAnsi="Times New Roman" w:cs="Times New Roman"/>
          <w:shd w:val="clear" w:color="auto" w:fill="FFFFFF"/>
        </w:rPr>
        <w:t xml:space="preserve"> (</w:t>
      </w:r>
      <w:r w:rsidR="00F91248" w:rsidRPr="00520B8F">
        <w:rPr>
          <w:rFonts w:ascii="Times New Roman" w:hAnsi="Times New Roman" w:cs="Times New Roman"/>
          <w:shd w:val="clear" w:color="auto" w:fill="FFFFFF"/>
        </w:rPr>
        <w:t>which was evaluated as disability in</w:t>
      </w:r>
      <w:r w:rsidR="00812164" w:rsidRPr="00520B8F">
        <w:rPr>
          <w:rFonts w:ascii="Times New Roman" w:hAnsi="Times New Roman" w:cs="Times New Roman"/>
          <w:shd w:val="clear" w:color="auto" w:fill="FFFFFF"/>
        </w:rPr>
        <w:t xml:space="preserve"> the re-examination of the file)</w:t>
      </w:r>
      <w:r w:rsidR="00F91248" w:rsidRPr="00520B8F">
        <w:rPr>
          <w:rFonts w:ascii="Times New Roman" w:hAnsi="Times New Roman" w:cs="Times New Roman"/>
          <w:shd w:val="clear" w:color="auto" w:fill="FFFFFF"/>
        </w:rPr>
        <w:t xml:space="preserve"> and the accident that was the subject of the lawsuit,</w:t>
      </w:r>
      <w:r w:rsidR="00812164" w:rsidRPr="00520B8F">
        <w:rPr>
          <w:rFonts w:ascii="Times New Roman" w:hAnsi="Times New Roman" w:cs="Times New Roman"/>
          <w:shd w:val="clear" w:color="auto" w:fill="FFFFFF"/>
        </w:rPr>
        <w:t xml:space="preserve"> therefore,</w:t>
      </w:r>
      <w:r w:rsidR="00F91248" w:rsidRPr="00520B8F">
        <w:rPr>
          <w:rFonts w:ascii="Times New Roman" w:hAnsi="Times New Roman" w:cs="Times New Roman"/>
          <w:shd w:val="clear" w:color="auto" w:fill="FFFFFF"/>
        </w:rPr>
        <w:t xml:space="preserve"> the traffic accident on </w:t>
      </w:r>
      <w:r w:rsidR="00812164" w:rsidRPr="00520B8F">
        <w:rPr>
          <w:rFonts w:ascii="Times New Roman" w:hAnsi="Times New Roman" w:cs="Times New Roman"/>
          <w:shd w:val="clear" w:color="auto" w:fill="FFFFFF"/>
        </w:rPr>
        <w:t>May 30</w:t>
      </w:r>
      <w:r w:rsidR="00812164" w:rsidRPr="00520B8F">
        <w:rPr>
          <w:rFonts w:ascii="Times New Roman" w:hAnsi="Times New Roman" w:cs="Times New Roman"/>
          <w:shd w:val="clear" w:color="auto" w:fill="FFFFFF"/>
          <w:vertAlign w:val="superscript"/>
        </w:rPr>
        <w:t>th</w:t>
      </w:r>
      <w:r w:rsidR="00812164" w:rsidRPr="00520B8F">
        <w:rPr>
          <w:rFonts w:ascii="Times New Roman" w:hAnsi="Times New Roman" w:cs="Times New Roman"/>
          <w:shd w:val="clear" w:color="auto" w:fill="FFFFFF"/>
        </w:rPr>
        <w:t xml:space="preserve">, </w:t>
      </w:r>
      <w:r w:rsidR="00F91248" w:rsidRPr="00520B8F">
        <w:rPr>
          <w:rFonts w:ascii="Times New Roman" w:hAnsi="Times New Roman" w:cs="Times New Roman"/>
          <w:shd w:val="clear" w:color="auto" w:fill="FFFFFF"/>
        </w:rPr>
        <w:t>2008 did</w:t>
      </w:r>
      <w:r w:rsidR="00812164" w:rsidRPr="00520B8F">
        <w:rPr>
          <w:rFonts w:ascii="Times New Roman" w:hAnsi="Times New Roman" w:cs="Times New Roman"/>
          <w:shd w:val="clear" w:color="auto" w:fill="FFFFFF"/>
        </w:rPr>
        <w:t xml:space="preserve"> not cause permanent disability. </w:t>
      </w:r>
      <w:r w:rsidR="00F91248" w:rsidRPr="00520B8F">
        <w:rPr>
          <w:rFonts w:ascii="Times New Roman" w:hAnsi="Times New Roman" w:cs="Times New Roman"/>
          <w:shd w:val="clear" w:color="auto" w:fill="FFFFFF"/>
        </w:rPr>
        <w:t xml:space="preserve">In the report of the General Assembly of Forensic Medicine dated </w:t>
      </w:r>
      <w:r w:rsidR="00812164" w:rsidRPr="00520B8F">
        <w:rPr>
          <w:rFonts w:ascii="Times New Roman" w:hAnsi="Times New Roman" w:cs="Times New Roman"/>
          <w:shd w:val="clear" w:color="auto" w:fill="FFFFFF"/>
        </w:rPr>
        <w:t>July 27</w:t>
      </w:r>
      <w:r w:rsidR="00812164" w:rsidRPr="00520B8F">
        <w:rPr>
          <w:rFonts w:ascii="Times New Roman" w:hAnsi="Times New Roman" w:cs="Times New Roman"/>
          <w:shd w:val="clear" w:color="auto" w:fill="FFFFFF"/>
          <w:vertAlign w:val="superscript"/>
        </w:rPr>
        <w:t>th</w:t>
      </w:r>
      <w:r w:rsidR="00812164" w:rsidRPr="00520B8F">
        <w:rPr>
          <w:rFonts w:ascii="Times New Roman" w:hAnsi="Times New Roman" w:cs="Times New Roman"/>
          <w:shd w:val="clear" w:color="auto" w:fill="FFFFFF"/>
        </w:rPr>
        <w:t xml:space="preserve">, </w:t>
      </w:r>
      <w:r w:rsidR="00F91248" w:rsidRPr="00520B8F">
        <w:rPr>
          <w:rFonts w:ascii="Times New Roman" w:hAnsi="Times New Roman" w:cs="Times New Roman"/>
          <w:shd w:val="clear" w:color="auto" w:fill="FFFFFF"/>
        </w:rPr>
        <w:t xml:space="preserve">2017, it was determined that the period of incapacity was 9 </w:t>
      </w:r>
      <w:proofErr w:type="gramStart"/>
      <w:r w:rsidR="00F91248" w:rsidRPr="00520B8F">
        <w:rPr>
          <w:rFonts w:ascii="Times New Roman" w:hAnsi="Times New Roman" w:cs="Times New Roman"/>
          <w:shd w:val="clear" w:color="auto" w:fill="FFFFFF"/>
        </w:rPr>
        <w:t>months,</w:t>
      </w:r>
      <w:proofErr w:type="gramEnd"/>
      <w:r w:rsidR="00F91248" w:rsidRPr="00520B8F">
        <w:rPr>
          <w:rFonts w:ascii="Times New Roman" w:hAnsi="Times New Roman" w:cs="Times New Roman"/>
          <w:shd w:val="clear" w:color="auto" w:fill="FFFFFF"/>
        </w:rPr>
        <w:t xml:space="preserve"> and that the file was sent to the General Assembly of Forensic Medicine due to the contradiction in the Forensic Medicine Institute reports received on </w:t>
      </w:r>
      <w:r w:rsidR="00812164" w:rsidRPr="00520B8F">
        <w:rPr>
          <w:rFonts w:ascii="Times New Roman" w:hAnsi="Times New Roman" w:cs="Times New Roman"/>
          <w:shd w:val="clear" w:color="auto" w:fill="FFFFFF"/>
        </w:rPr>
        <w:t>January 22</w:t>
      </w:r>
      <w:r w:rsidR="00812164" w:rsidRPr="00520B8F">
        <w:rPr>
          <w:rFonts w:ascii="Times New Roman" w:hAnsi="Times New Roman" w:cs="Times New Roman"/>
          <w:shd w:val="clear" w:color="auto" w:fill="FFFFFF"/>
          <w:vertAlign w:val="superscript"/>
        </w:rPr>
        <w:t>nd</w:t>
      </w:r>
      <w:r w:rsidR="00812164" w:rsidRPr="00520B8F">
        <w:rPr>
          <w:rFonts w:ascii="Times New Roman" w:hAnsi="Times New Roman" w:cs="Times New Roman"/>
          <w:shd w:val="clear" w:color="auto" w:fill="FFFFFF"/>
        </w:rPr>
        <w:t xml:space="preserve">, </w:t>
      </w:r>
      <w:r w:rsidR="00F91248" w:rsidRPr="00520B8F">
        <w:rPr>
          <w:rFonts w:ascii="Times New Roman" w:hAnsi="Times New Roman" w:cs="Times New Roman"/>
          <w:shd w:val="clear" w:color="auto" w:fill="FFFFFF"/>
        </w:rPr>
        <w:t xml:space="preserve">2016 and </w:t>
      </w:r>
      <w:r w:rsidR="00812164" w:rsidRPr="00520B8F">
        <w:rPr>
          <w:rFonts w:ascii="Times New Roman" w:hAnsi="Times New Roman" w:cs="Times New Roman"/>
          <w:shd w:val="clear" w:color="auto" w:fill="FFFFFF"/>
        </w:rPr>
        <w:t>September 26</w:t>
      </w:r>
      <w:r w:rsidR="00812164" w:rsidRPr="00520B8F">
        <w:rPr>
          <w:rFonts w:ascii="Times New Roman" w:hAnsi="Times New Roman" w:cs="Times New Roman"/>
          <w:shd w:val="clear" w:color="auto" w:fill="FFFFFF"/>
          <w:vertAlign w:val="superscript"/>
        </w:rPr>
        <w:t>th</w:t>
      </w:r>
      <w:r w:rsidR="00812164" w:rsidRPr="00520B8F">
        <w:rPr>
          <w:rFonts w:ascii="Times New Roman" w:hAnsi="Times New Roman" w:cs="Times New Roman"/>
          <w:shd w:val="clear" w:color="auto" w:fill="FFFFFF"/>
        </w:rPr>
        <w:t>, 2016.</w:t>
      </w:r>
      <w:r w:rsidR="00F91248" w:rsidRPr="00520B8F">
        <w:rPr>
          <w:rFonts w:ascii="Times New Roman" w:hAnsi="Times New Roman" w:cs="Times New Roman"/>
          <w:shd w:val="clear" w:color="auto" w:fill="FFFFFF"/>
        </w:rPr>
        <w:t xml:space="preserve"> The report of the Forensic Medicine Institute dated </w:t>
      </w:r>
      <w:r w:rsidR="00812164" w:rsidRPr="00520B8F">
        <w:rPr>
          <w:rFonts w:ascii="Times New Roman" w:hAnsi="Times New Roman" w:cs="Times New Roman"/>
          <w:shd w:val="clear" w:color="auto" w:fill="FFFFFF"/>
        </w:rPr>
        <w:t>September 26</w:t>
      </w:r>
      <w:r w:rsidR="00812164" w:rsidRPr="00520B8F">
        <w:rPr>
          <w:rFonts w:ascii="Times New Roman" w:hAnsi="Times New Roman" w:cs="Times New Roman"/>
          <w:shd w:val="clear" w:color="auto" w:fill="FFFFFF"/>
          <w:vertAlign w:val="superscript"/>
        </w:rPr>
        <w:t>th</w:t>
      </w:r>
      <w:r w:rsidR="00812164" w:rsidRPr="00520B8F">
        <w:rPr>
          <w:rFonts w:ascii="Times New Roman" w:hAnsi="Times New Roman" w:cs="Times New Roman"/>
          <w:shd w:val="clear" w:color="auto" w:fill="FFFFFF"/>
        </w:rPr>
        <w:t xml:space="preserve">, </w:t>
      </w:r>
      <w:r w:rsidR="00F91248" w:rsidRPr="00520B8F">
        <w:rPr>
          <w:rFonts w:ascii="Times New Roman" w:hAnsi="Times New Roman" w:cs="Times New Roman"/>
          <w:shd w:val="clear" w:color="auto" w:fill="FFFFFF"/>
        </w:rPr>
        <w:t xml:space="preserve">2016 was confirmed and it was reiterated that the traffic accident on </w:t>
      </w:r>
      <w:r w:rsidR="00812164" w:rsidRPr="00520B8F">
        <w:rPr>
          <w:rFonts w:ascii="Times New Roman" w:hAnsi="Times New Roman" w:cs="Times New Roman"/>
          <w:shd w:val="clear" w:color="auto" w:fill="FFFFFF"/>
        </w:rPr>
        <w:t>May 30</w:t>
      </w:r>
      <w:r w:rsidR="00812164" w:rsidRPr="00520B8F">
        <w:rPr>
          <w:rFonts w:ascii="Times New Roman" w:hAnsi="Times New Roman" w:cs="Times New Roman"/>
          <w:shd w:val="clear" w:color="auto" w:fill="FFFFFF"/>
          <w:vertAlign w:val="superscript"/>
        </w:rPr>
        <w:t>th</w:t>
      </w:r>
      <w:r w:rsidR="00812164" w:rsidRPr="00520B8F">
        <w:rPr>
          <w:rFonts w:ascii="Times New Roman" w:hAnsi="Times New Roman" w:cs="Times New Roman"/>
          <w:shd w:val="clear" w:color="auto" w:fill="FFFFFF"/>
        </w:rPr>
        <w:t xml:space="preserve">, </w:t>
      </w:r>
      <w:r w:rsidR="00F91248" w:rsidRPr="00520B8F">
        <w:rPr>
          <w:rFonts w:ascii="Times New Roman" w:hAnsi="Times New Roman" w:cs="Times New Roman"/>
          <w:shd w:val="clear" w:color="auto" w:fill="FFFFFF"/>
        </w:rPr>
        <w:t>2008 did not cause permanent disability and the period of temporary incapacity was 9 months. It is understood that</w:t>
      </w:r>
      <w:r w:rsidR="00812164" w:rsidRPr="00520B8F">
        <w:rPr>
          <w:rFonts w:ascii="Times New Roman" w:hAnsi="Times New Roman" w:cs="Times New Roman"/>
          <w:shd w:val="clear" w:color="auto" w:fill="FFFFFF"/>
        </w:rPr>
        <w:t xml:space="preserve"> the </w:t>
      </w:r>
      <w:r w:rsidR="00B8668C" w:rsidRPr="00520B8F">
        <w:rPr>
          <w:rFonts w:ascii="Times New Roman" w:hAnsi="Times New Roman" w:cs="Times New Roman"/>
          <w:shd w:val="clear" w:color="auto" w:fill="FFFFFF"/>
        </w:rPr>
        <w:t>lawsuit of the non-litigated insurance company regarding the cancellation of the objection was partially accepted, and</w:t>
      </w:r>
      <w:r w:rsidR="00F91248" w:rsidRPr="00520B8F">
        <w:rPr>
          <w:rFonts w:ascii="Times New Roman" w:hAnsi="Times New Roman" w:cs="Times New Roman"/>
          <w:shd w:val="clear" w:color="auto" w:fill="FFFFFF"/>
        </w:rPr>
        <w:t xml:space="preserve"> the deci</w:t>
      </w:r>
      <w:r w:rsidR="00011D81" w:rsidRPr="00520B8F">
        <w:rPr>
          <w:rFonts w:ascii="Times New Roman" w:hAnsi="Times New Roman" w:cs="Times New Roman"/>
          <w:shd w:val="clear" w:color="auto" w:fill="FFFFFF"/>
        </w:rPr>
        <w:t xml:space="preserve">sion is in the appeal review…” </w:t>
      </w:r>
    </w:p>
    <w:p w14:paraId="4A633483" w14:textId="4B0F3D10" w:rsidR="00F425F5" w:rsidRPr="00520B8F" w:rsidRDefault="00F425F5" w:rsidP="533F4A94">
      <w:pPr>
        <w:jc w:val="both"/>
        <w:rPr>
          <w:rFonts w:ascii="Times New Roman" w:hAnsi="Times New Roman" w:cs="Times New Roman"/>
        </w:rPr>
      </w:pPr>
    </w:p>
    <w:p w14:paraId="02E94F52" w14:textId="159615AE" w:rsidR="00F425F5" w:rsidRPr="00520B8F" w:rsidRDefault="00B206B6" w:rsidP="009124AD">
      <w:pPr>
        <w:jc w:val="both"/>
        <w:rPr>
          <w:rFonts w:ascii="Times New Roman" w:hAnsi="Times New Roman" w:cs="Times New Roman"/>
          <w:shd w:val="clear" w:color="auto" w:fill="FFFFFF"/>
        </w:rPr>
      </w:pPr>
      <w:r w:rsidRPr="00520B8F">
        <w:rPr>
          <w:rFonts w:ascii="Times New Roman" w:hAnsi="Times New Roman" w:cs="Times New Roman"/>
          <w:shd w:val="clear" w:color="auto" w:fill="FFFFFF"/>
        </w:rPr>
        <w:t xml:space="preserve">In the decision E:2016/6154 K:2019/379 of the 4th Civil Chamber of the </w:t>
      </w:r>
      <w:r w:rsidR="00A92283" w:rsidRPr="00520B8F">
        <w:rPr>
          <w:rFonts w:ascii="Times New Roman" w:hAnsi="Times New Roman" w:cs="Times New Roman"/>
          <w:shd w:val="clear" w:color="auto" w:fill="FFFFFF"/>
        </w:rPr>
        <w:t>Court of Cassation</w:t>
      </w:r>
      <w:r w:rsidRPr="00520B8F">
        <w:rPr>
          <w:rFonts w:ascii="Times New Roman" w:hAnsi="Times New Roman" w:cs="Times New Roman"/>
          <w:shd w:val="clear" w:color="auto" w:fill="FFFFFF"/>
        </w:rPr>
        <w:t>, it is stated that “…[w]</w:t>
      </w:r>
      <w:proofErr w:type="spellStart"/>
      <w:r w:rsidRPr="00520B8F">
        <w:rPr>
          <w:rFonts w:ascii="Times New Roman" w:hAnsi="Times New Roman" w:cs="Times New Roman"/>
          <w:shd w:val="clear" w:color="auto" w:fill="FFFFFF"/>
        </w:rPr>
        <w:t>ithin</w:t>
      </w:r>
      <w:proofErr w:type="spellEnd"/>
      <w:r w:rsidRPr="00520B8F">
        <w:rPr>
          <w:rFonts w:ascii="Times New Roman" w:hAnsi="Times New Roman" w:cs="Times New Roman"/>
          <w:shd w:val="clear" w:color="auto" w:fill="FFFFFF"/>
        </w:rPr>
        <w:t xml:space="preserve"> the scope of the case, </w:t>
      </w:r>
      <w:r w:rsidR="6331A584" w:rsidRPr="00520B8F">
        <w:rPr>
          <w:rFonts w:ascii="Times New Roman" w:hAnsi="Times New Roman" w:cs="Times New Roman"/>
          <w:shd w:val="clear" w:color="auto" w:fill="FFFFFF"/>
        </w:rPr>
        <w:t>i</w:t>
      </w:r>
      <w:r w:rsidRPr="00520B8F">
        <w:rPr>
          <w:rFonts w:ascii="Times New Roman" w:hAnsi="Times New Roman" w:cs="Times New Roman"/>
          <w:shd w:val="clear" w:color="auto" w:fill="FFFFFF"/>
        </w:rPr>
        <w:t>t is understood that he was found to be defective at the rate of 4/8 in the report of the Supreme Health Council dated September 7</w:t>
      </w:r>
      <w:r w:rsidRPr="00520B8F">
        <w:rPr>
          <w:rFonts w:ascii="Times New Roman" w:hAnsi="Times New Roman" w:cs="Times New Roman"/>
          <w:shd w:val="clear" w:color="auto" w:fill="FFFFFF"/>
          <w:vertAlign w:val="superscript"/>
        </w:rPr>
        <w:t>th</w:t>
      </w:r>
      <w:r w:rsidRPr="00520B8F">
        <w:rPr>
          <w:rFonts w:ascii="Times New Roman" w:hAnsi="Times New Roman" w:cs="Times New Roman"/>
          <w:shd w:val="clear" w:color="auto" w:fill="FFFFFF"/>
        </w:rPr>
        <w:t>-8</w:t>
      </w:r>
      <w:r w:rsidRPr="00520B8F">
        <w:rPr>
          <w:rFonts w:ascii="Times New Roman" w:hAnsi="Times New Roman" w:cs="Times New Roman"/>
          <w:shd w:val="clear" w:color="auto" w:fill="FFFFFF"/>
          <w:vertAlign w:val="superscript"/>
        </w:rPr>
        <w:t>th</w:t>
      </w:r>
      <w:r w:rsidRPr="00520B8F">
        <w:rPr>
          <w:rFonts w:ascii="Times New Roman" w:hAnsi="Times New Roman" w:cs="Times New Roman"/>
          <w:shd w:val="clear" w:color="auto" w:fill="FFFFFF"/>
        </w:rPr>
        <w:t>, 2006; 4/8 in the expert committee report dated January 28</w:t>
      </w:r>
      <w:r w:rsidRPr="00520B8F">
        <w:rPr>
          <w:rFonts w:ascii="Times New Roman" w:hAnsi="Times New Roman" w:cs="Times New Roman"/>
          <w:shd w:val="clear" w:color="auto" w:fill="FFFFFF"/>
          <w:vertAlign w:val="superscript"/>
        </w:rPr>
        <w:t>th</w:t>
      </w:r>
      <w:r w:rsidRPr="00520B8F">
        <w:rPr>
          <w:rFonts w:ascii="Times New Roman" w:hAnsi="Times New Roman" w:cs="Times New Roman"/>
          <w:shd w:val="clear" w:color="auto" w:fill="FFFFFF"/>
        </w:rPr>
        <w:t>, 2014, 6/8 in the report of the</w:t>
      </w:r>
      <w:r w:rsidR="00CD1CAD" w:rsidRPr="00520B8F">
        <w:rPr>
          <w:rFonts w:ascii="Times New Roman" w:hAnsi="Times New Roman" w:cs="Times New Roman"/>
          <w:shd w:val="clear" w:color="auto" w:fill="FFFFFF"/>
        </w:rPr>
        <w:t xml:space="preserve"> Specialized Board of the</w:t>
      </w:r>
      <w:r w:rsidRPr="00520B8F">
        <w:rPr>
          <w:rFonts w:ascii="Times New Roman" w:hAnsi="Times New Roman" w:cs="Times New Roman"/>
          <w:shd w:val="clear" w:color="auto" w:fill="FFFFFF"/>
        </w:rPr>
        <w:t xml:space="preserve"> Forensic Medicine Institute. In this case, a report from the General Assembly of the Forensic Medicine Institute is necessary to eliminate the contradiction between the existing reports, and a decision should be made according to the result.” In the decision E</w:t>
      </w:r>
      <w:proofErr w:type="gramStart"/>
      <w:r w:rsidRPr="00520B8F">
        <w:rPr>
          <w:rFonts w:ascii="Times New Roman" w:hAnsi="Times New Roman" w:cs="Times New Roman"/>
          <w:shd w:val="clear" w:color="auto" w:fill="FFFFFF"/>
        </w:rPr>
        <w:t>:2018</w:t>
      </w:r>
      <w:proofErr w:type="gramEnd"/>
      <w:r w:rsidRPr="00520B8F">
        <w:rPr>
          <w:rFonts w:ascii="Times New Roman" w:hAnsi="Times New Roman" w:cs="Times New Roman"/>
          <w:shd w:val="clear" w:color="auto" w:fill="FFFFFF"/>
        </w:rPr>
        <w:t xml:space="preserve">/1669 K:2018/5126 of the 4th Civil Chamber of the Court of </w:t>
      </w:r>
      <w:r w:rsidR="00A92283" w:rsidRPr="00520B8F">
        <w:rPr>
          <w:rFonts w:ascii="Times New Roman" w:hAnsi="Times New Roman" w:cs="Times New Roman"/>
          <w:shd w:val="clear" w:color="auto" w:fill="FFFFFF"/>
        </w:rPr>
        <w:t>Cassation</w:t>
      </w:r>
      <w:r w:rsidRPr="00520B8F">
        <w:rPr>
          <w:rFonts w:ascii="Times New Roman" w:hAnsi="Times New Roman" w:cs="Times New Roman"/>
          <w:shd w:val="clear" w:color="auto" w:fill="FFFFFF"/>
        </w:rPr>
        <w:t>, it is stated that “… [i]n the report of the Specialized Department</w:t>
      </w:r>
      <w:r w:rsidR="00CD1CAD" w:rsidRPr="00520B8F">
        <w:rPr>
          <w:rFonts w:ascii="Times New Roman" w:hAnsi="Times New Roman" w:cs="Times New Roman"/>
          <w:shd w:val="clear" w:color="auto" w:fill="FFFFFF"/>
        </w:rPr>
        <w:t xml:space="preserve"> 3</w:t>
      </w:r>
      <w:r w:rsidRPr="00520B8F">
        <w:rPr>
          <w:rFonts w:ascii="Times New Roman" w:hAnsi="Times New Roman" w:cs="Times New Roman"/>
          <w:shd w:val="clear" w:color="auto" w:fill="FFFFFF"/>
        </w:rPr>
        <w:t xml:space="preserve"> of the Forensic Medicine Institute dated December 23</w:t>
      </w:r>
      <w:r w:rsidRPr="00520B8F">
        <w:rPr>
          <w:rFonts w:ascii="Times New Roman" w:hAnsi="Times New Roman" w:cs="Times New Roman"/>
          <w:shd w:val="clear" w:color="auto" w:fill="FFFFFF"/>
          <w:vertAlign w:val="superscript"/>
        </w:rPr>
        <w:t>rd</w:t>
      </w:r>
      <w:r w:rsidRPr="00520B8F">
        <w:rPr>
          <w:rFonts w:ascii="Times New Roman" w:hAnsi="Times New Roman" w:cs="Times New Roman"/>
          <w:shd w:val="clear" w:color="auto" w:fill="FFFFFF"/>
        </w:rPr>
        <w:t>, 2011, regarding the disability of the plaintiff in relation to the event that is the subject of the case, it was stated that the plaintiff had recovered without leaving any functional scars due to the traffic accident that occurred, therefore there was no room for a permanent disability rate determination, and the recovery period could extend up to 9 months from the date of the incident. After the plaintiff's attorney objected to this report, a</w:t>
      </w:r>
      <w:r w:rsidR="00CD1CAD" w:rsidRPr="00520B8F">
        <w:rPr>
          <w:rFonts w:ascii="Times New Roman" w:hAnsi="Times New Roman" w:cs="Times New Roman"/>
          <w:shd w:val="clear" w:color="auto" w:fill="FFFFFF"/>
        </w:rPr>
        <w:t>nother report</w:t>
      </w:r>
      <w:r w:rsidRPr="00520B8F">
        <w:rPr>
          <w:rFonts w:ascii="Times New Roman" w:hAnsi="Times New Roman" w:cs="Times New Roman"/>
          <w:shd w:val="clear" w:color="auto" w:fill="FFFFFF"/>
        </w:rPr>
        <w:t xml:space="preserve"> regarding the disability of the plaintiff</w:t>
      </w:r>
      <w:r w:rsidR="00CD1CAD" w:rsidRPr="00520B8F">
        <w:rPr>
          <w:rFonts w:ascii="Times New Roman" w:hAnsi="Times New Roman" w:cs="Times New Roman"/>
          <w:shd w:val="clear" w:color="auto" w:fill="FFFFFF"/>
        </w:rPr>
        <w:t xml:space="preserve"> was prepared</w:t>
      </w:r>
      <w:r w:rsidRPr="00520B8F">
        <w:rPr>
          <w:rFonts w:ascii="Times New Roman" w:hAnsi="Times New Roman" w:cs="Times New Roman"/>
          <w:shd w:val="clear" w:color="auto" w:fill="FFFFFF"/>
        </w:rPr>
        <w:t xml:space="preserve">. In the report dated </w:t>
      </w:r>
      <w:r w:rsidR="00CD1CAD" w:rsidRPr="00520B8F">
        <w:rPr>
          <w:rFonts w:ascii="Times New Roman" w:hAnsi="Times New Roman" w:cs="Times New Roman"/>
          <w:shd w:val="clear" w:color="auto" w:fill="FFFFFF"/>
        </w:rPr>
        <w:t>November 27</w:t>
      </w:r>
      <w:r w:rsidR="00CD1CAD" w:rsidRPr="00520B8F">
        <w:rPr>
          <w:rFonts w:ascii="Times New Roman" w:hAnsi="Times New Roman" w:cs="Times New Roman"/>
          <w:shd w:val="clear" w:color="auto" w:fill="FFFFFF"/>
          <w:vertAlign w:val="superscript"/>
        </w:rPr>
        <w:t>th</w:t>
      </w:r>
      <w:r w:rsidR="00CD1CAD" w:rsidRPr="00520B8F">
        <w:rPr>
          <w:rFonts w:ascii="Times New Roman" w:hAnsi="Times New Roman" w:cs="Times New Roman"/>
          <w:shd w:val="clear" w:color="auto" w:fill="FFFFFF"/>
        </w:rPr>
        <w:t xml:space="preserve">, </w:t>
      </w:r>
      <w:r w:rsidRPr="00520B8F">
        <w:rPr>
          <w:rFonts w:ascii="Times New Roman" w:hAnsi="Times New Roman" w:cs="Times New Roman"/>
          <w:shd w:val="clear" w:color="auto" w:fill="FFFFFF"/>
        </w:rPr>
        <w:t>2014 prepared by</w:t>
      </w:r>
      <w:r w:rsidR="00CD1CAD" w:rsidRPr="00520B8F">
        <w:rPr>
          <w:rFonts w:ascii="Times New Roman" w:hAnsi="Times New Roman" w:cs="Times New Roman"/>
          <w:shd w:val="clear" w:color="auto" w:fill="FFFFFF"/>
        </w:rPr>
        <w:t xml:space="preserve"> Department of Forensic Medicine in</w:t>
      </w:r>
      <w:r w:rsidRPr="00520B8F">
        <w:rPr>
          <w:rFonts w:ascii="Times New Roman" w:hAnsi="Times New Roman" w:cs="Times New Roman"/>
          <w:shd w:val="clear" w:color="auto" w:fill="FFFFFF"/>
        </w:rPr>
        <w:t xml:space="preserve"> </w:t>
      </w:r>
      <w:proofErr w:type="spellStart"/>
      <w:r w:rsidRPr="00520B8F">
        <w:rPr>
          <w:rFonts w:ascii="Times New Roman" w:hAnsi="Times New Roman" w:cs="Times New Roman"/>
          <w:shd w:val="clear" w:color="auto" w:fill="FFFFFF"/>
        </w:rPr>
        <w:t>Trakya</w:t>
      </w:r>
      <w:proofErr w:type="spellEnd"/>
      <w:r w:rsidRPr="00520B8F">
        <w:rPr>
          <w:rFonts w:ascii="Times New Roman" w:hAnsi="Times New Roman" w:cs="Times New Roman"/>
          <w:shd w:val="clear" w:color="auto" w:fill="FFFFFF"/>
        </w:rPr>
        <w:t xml:space="preserve"> Un</w:t>
      </w:r>
      <w:r w:rsidR="00CD1CAD" w:rsidRPr="00520B8F">
        <w:rPr>
          <w:rFonts w:ascii="Times New Roman" w:hAnsi="Times New Roman" w:cs="Times New Roman"/>
          <w:shd w:val="clear" w:color="auto" w:fill="FFFFFF"/>
        </w:rPr>
        <w:t>iversity Faculty of Medicine, i</w:t>
      </w:r>
      <w:r w:rsidRPr="00520B8F">
        <w:rPr>
          <w:rFonts w:ascii="Times New Roman" w:hAnsi="Times New Roman" w:cs="Times New Roman"/>
          <w:shd w:val="clear" w:color="auto" w:fill="FFFFFF"/>
        </w:rPr>
        <w:t xml:space="preserve">t </w:t>
      </w:r>
      <w:r w:rsidR="00CD1CAD" w:rsidRPr="00520B8F">
        <w:rPr>
          <w:rFonts w:ascii="Times New Roman" w:hAnsi="Times New Roman" w:cs="Times New Roman"/>
          <w:shd w:val="clear" w:color="auto" w:fill="FFFFFF"/>
        </w:rPr>
        <w:t>was</w:t>
      </w:r>
      <w:r w:rsidRPr="00520B8F">
        <w:rPr>
          <w:rFonts w:ascii="Times New Roman" w:hAnsi="Times New Roman" w:cs="Times New Roman"/>
          <w:shd w:val="clear" w:color="auto" w:fill="FFFFFF"/>
        </w:rPr>
        <w:t xml:space="preserve"> d</w:t>
      </w:r>
      <w:r w:rsidR="00CD1CAD" w:rsidRPr="00520B8F">
        <w:rPr>
          <w:rFonts w:ascii="Times New Roman" w:hAnsi="Times New Roman" w:cs="Times New Roman"/>
          <w:shd w:val="clear" w:color="auto" w:fill="FFFFFF"/>
        </w:rPr>
        <w:t>etermined that the plaintiff had</w:t>
      </w:r>
      <w:r w:rsidRPr="00520B8F">
        <w:rPr>
          <w:rFonts w:ascii="Times New Roman" w:hAnsi="Times New Roman" w:cs="Times New Roman"/>
          <w:shd w:val="clear" w:color="auto" w:fill="FFFFFF"/>
        </w:rPr>
        <w:t xml:space="preserve"> a permanent disability of 15.2% due to the traffic accident, and the recovery period is 1 year and 50 days. Although the court made a judgment based on the account report prepared on the basis of the report of the </w:t>
      </w:r>
      <w:proofErr w:type="spellStart"/>
      <w:r w:rsidRPr="00520B8F">
        <w:rPr>
          <w:rFonts w:ascii="Times New Roman" w:hAnsi="Times New Roman" w:cs="Times New Roman"/>
          <w:shd w:val="clear" w:color="auto" w:fill="FFFFFF"/>
        </w:rPr>
        <w:t>Trakya</w:t>
      </w:r>
      <w:proofErr w:type="spellEnd"/>
      <w:r w:rsidRPr="00520B8F">
        <w:rPr>
          <w:rFonts w:ascii="Times New Roman" w:hAnsi="Times New Roman" w:cs="Times New Roman"/>
          <w:shd w:val="clear" w:color="auto" w:fill="FFFFFF"/>
        </w:rPr>
        <w:t xml:space="preserve"> University Forensic Medicine Department, the determination of the scope of the damage and </w:t>
      </w:r>
      <w:r w:rsidRPr="00520B8F">
        <w:rPr>
          <w:rFonts w:ascii="Times New Roman" w:hAnsi="Times New Roman" w:cs="Times New Roman"/>
          <w:shd w:val="clear" w:color="auto" w:fill="FFFFFF"/>
        </w:rPr>
        <w:lastRenderedPageBreak/>
        <w:t>the establishment of the judgment accordingly were not correct without eliminating the contradiction between the report of the Forensic Medicine Institute Specializ</w:t>
      </w:r>
      <w:r w:rsidR="00AA3FF1" w:rsidRPr="00520B8F">
        <w:rPr>
          <w:rFonts w:ascii="Times New Roman" w:hAnsi="Times New Roman" w:cs="Times New Roman"/>
          <w:shd w:val="clear" w:color="auto" w:fill="FFFFFF"/>
        </w:rPr>
        <w:t>ed</w:t>
      </w:r>
      <w:r w:rsidRPr="00520B8F">
        <w:rPr>
          <w:rFonts w:ascii="Times New Roman" w:hAnsi="Times New Roman" w:cs="Times New Roman"/>
          <w:shd w:val="clear" w:color="auto" w:fill="FFFFFF"/>
        </w:rPr>
        <w:t xml:space="preserve"> Board</w:t>
      </w:r>
      <w:r w:rsidR="00CD1CAD" w:rsidRPr="00520B8F">
        <w:rPr>
          <w:rFonts w:ascii="Times New Roman" w:hAnsi="Times New Roman" w:cs="Times New Roman"/>
          <w:shd w:val="clear" w:color="auto" w:fill="FFFFFF"/>
        </w:rPr>
        <w:t xml:space="preserve"> 3</w:t>
      </w:r>
      <w:r w:rsidRPr="00520B8F">
        <w:rPr>
          <w:rFonts w:ascii="Times New Roman" w:hAnsi="Times New Roman" w:cs="Times New Roman"/>
          <w:shd w:val="clear" w:color="auto" w:fill="FFFFFF"/>
        </w:rPr>
        <w:t xml:space="preserve"> and this report.</w:t>
      </w:r>
      <w:r w:rsidR="00011D81" w:rsidRPr="00520B8F">
        <w:rPr>
          <w:rFonts w:ascii="Times New Roman" w:hAnsi="Times New Roman" w:cs="Times New Roman"/>
          <w:shd w:val="clear" w:color="auto" w:fill="FFFFFF"/>
        </w:rPr>
        <w:t>”</w:t>
      </w:r>
      <w:r w:rsidR="00CD1CAD" w:rsidRPr="00520B8F">
        <w:rPr>
          <w:rFonts w:ascii="Times New Roman" w:hAnsi="Times New Roman" w:cs="Times New Roman"/>
          <w:shd w:val="clear" w:color="auto" w:fill="FFFFFF"/>
        </w:rPr>
        <w:t xml:space="preserve"> In all these and many similar decisions, the proceedings are renewed in order to get a report again, so the processes take longer times</w:t>
      </w:r>
      <w:r w:rsidR="00EA29C5" w:rsidRPr="00520B8F">
        <w:rPr>
          <w:rFonts w:ascii="Times New Roman" w:hAnsi="Times New Roman" w:cs="Times New Roman"/>
          <w:shd w:val="clear" w:color="auto" w:fill="FFFFFF"/>
        </w:rPr>
        <w:t>, as in the decision E</w:t>
      </w:r>
      <w:proofErr w:type="gramStart"/>
      <w:r w:rsidR="00EA29C5" w:rsidRPr="00520B8F">
        <w:rPr>
          <w:rFonts w:ascii="Times New Roman" w:hAnsi="Times New Roman" w:cs="Times New Roman"/>
          <w:shd w:val="clear" w:color="auto" w:fill="FFFFFF"/>
        </w:rPr>
        <w:t>:2016</w:t>
      </w:r>
      <w:proofErr w:type="gramEnd"/>
      <w:r w:rsidR="00EA29C5" w:rsidRPr="00520B8F">
        <w:rPr>
          <w:rFonts w:ascii="Times New Roman" w:hAnsi="Times New Roman" w:cs="Times New Roman"/>
          <w:shd w:val="clear" w:color="auto" w:fill="FFFFFF"/>
        </w:rPr>
        <w:t>/6154 K:2019/379 of the 4th Civil Chamber of the Court of Cassation in progress for 13 years</w:t>
      </w:r>
      <w:r w:rsidR="00CD1CAD" w:rsidRPr="00520B8F">
        <w:rPr>
          <w:rFonts w:ascii="Times New Roman" w:hAnsi="Times New Roman" w:cs="Times New Roman"/>
          <w:shd w:val="clear" w:color="auto" w:fill="FFFFFF"/>
        </w:rPr>
        <w:t>.</w:t>
      </w:r>
    </w:p>
    <w:p w14:paraId="4FF8B618" w14:textId="77777777" w:rsidR="00CD1CAD" w:rsidRPr="00520B8F" w:rsidRDefault="00CD1CAD" w:rsidP="009124AD">
      <w:pPr>
        <w:jc w:val="both"/>
        <w:rPr>
          <w:rFonts w:ascii="Times New Roman" w:hAnsi="Times New Roman" w:cs="Times New Roman"/>
          <w:shd w:val="clear" w:color="auto" w:fill="FFFFFF"/>
        </w:rPr>
      </w:pPr>
    </w:p>
    <w:p w14:paraId="14928547" w14:textId="77777777" w:rsidR="00CD1CAD" w:rsidRPr="00520B8F" w:rsidRDefault="00CD1CAD"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2.2.2. Quality of medical reports</w:t>
      </w:r>
    </w:p>
    <w:p w14:paraId="136E968E" w14:textId="77777777" w:rsidR="00CD1CAD" w:rsidRPr="00520B8F" w:rsidRDefault="00CD1CAD" w:rsidP="009124AD">
      <w:pPr>
        <w:jc w:val="both"/>
        <w:rPr>
          <w:rFonts w:ascii="Times New Roman" w:hAnsi="Times New Roman" w:cs="Times New Roman"/>
          <w:shd w:val="clear" w:color="auto" w:fill="FFFFFF"/>
        </w:rPr>
      </w:pPr>
    </w:p>
    <w:p w14:paraId="24D1A4DA" w14:textId="0D580585" w:rsidR="00CD1CAD" w:rsidRPr="00520B8F" w:rsidRDefault="00CD1CAD" w:rsidP="533F4A94">
      <w:pPr>
        <w:jc w:val="both"/>
        <w:rPr>
          <w:rFonts w:ascii="Times New Roman" w:hAnsi="Times New Roman" w:cs="Times New Roman"/>
        </w:rPr>
      </w:pPr>
      <w:r w:rsidRPr="00520B8F">
        <w:rPr>
          <w:rFonts w:ascii="Times New Roman" w:hAnsi="Times New Roman" w:cs="Times New Roman"/>
          <w:shd w:val="clear" w:color="auto" w:fill="FFFFFF"/>
        </w:rPr>
        <w:t xml:space="preserve">23. </w:t>
      </w:r>
      <w:r w:rsidR="000C2455" w:rsidRPr="00520B8F">
        <w:rPr>
          <w:rFonts w:ascii="Times New Roman" w:hAnsi="Times New Roman" w:cs="Times New Roman"/>
          <w:shd w:val="clear" w:color="auto" w:fill="FFFFFF"/>
        </w:rPr>
        <w:t>In paragraphs 117 to 127</w:t>
      </w:r>
      <w:r w:rsidR="00634360" w:rsidRPr="00520B8F">
        <w:rPr>
          <w:rFonts w:ascii="Times New Roman" w:hAnsi="Times New Roman" w:cs="Times New Roman"/>
          <w:shd w:val="clear" w:color="auto" w:fill="FFFFFF"/>
        </w:rPr>
        <w:t xml:space="preserve"> of the Government's opinion, the quality of medical reports is assessed. Some of the evaluations here are related to the explanations in paragraph 20 above.</w:t>
      </w:r>
      <w:r w:rsidR="00E00F35" w:rsidRPr="00520B8F">
        <w:rPr>
          <w:rFonts w:ascii="Times New Roman" w:hAnsi="Times New Roman" w:cs="Times New Roman"/>
          <w:shd w:val="clear" w:color="auto" w:fill="FFFFFF"/>
        </w:rPr>
        <w:t xml:space="preserve"> In order to avoid repetition, i</w:t>
      </w:r>
      <w:r w:rsidR="00634360" w:rsidRPr="00520B8F">
        <w:rPr>
          <w:rFonts w:ascii="Times New Roman" w:hAnsi="Times New Roman" w:cs="Times New Roman"/>
          <w:shd w:val="clear" w:color="auto" w:fill="FFFFFF"/>
        </w:rPr>
        <w:t xml:space="preserve">t would be useful to consider the explanations </w:t>
      </w:r>
      <w:r w:rsidR="00E00F35" w:rsidRPr="00520B8F">
        <w:rPr>
          <w:rFonts w:ascii="Times New Roman" w:hAnsi="Times New Roman" w:cs="Times New Roman"/>
          <w:shd w:val="clear" w:color="auto" w:fill="FFFFFF"/>
        </w:rPr>
        <w:t>there in terms of this part as well</w:t>
      </w:r>
      <w:r w:rsidR="00634360" w:rsidRPr="00520B8F">
        <w:rPr>
          <w:rFonts w:ascii="Times New Roman" w:hAnsi="Times New Roman" w:cs="Times New Roman"/>
          <w:shd w:val="clear" w:color="auto" w:fill="FFFFFF"/>
        </w:rPr>
        <w:t>. There are major problems with the quality of the expert reports obtained in cases involving claims of medical negligence. It is possible to trace issues with inconsistent reports from court decisions.</w:t>
      </w:r>
      <w:r w:rsidR="001224BC" w:rsidRPr="00520B8F">
        <w:rPr>
          <w:rFonts w:ascii="Times New Roman" w:hAnsi="Times New Roman" w:cs="Times New Roman"/>
          <w:shd w:val="clear" w:color="auto" w:fill="FFFFFF"/>
        </w:rPr>
        <w:t xml:space="preserve"> </w:t>
      </w:r>
      <w:r w:rsidR="00184294" w:rsidRPr="00520B8F">
        <w:rPr>
          <w:rFonts w:ascii="Times New Roman" w:hAnsi="Times New Roman" w:cs="Times New Roman"/>
          <w:shd w:val="clear" w:color="auto" w:fill="FFFFFF"/>
        </w:rPr>
        <w:t xml:space="preserve">In the decision E:2021/3153 K:2021/2473 of the 4th Civil Chamber of the </w:t>
      </w:r>
      <w:r w:rsidR="00A92283" w:rsidRPr="00520B8F">
        <w:rPr>
          <w:rFonts w:ascii="Times New Roman" w:hAnsi="Times New Roman" w:cs="Times New Roman"/>
          <w:shd w:val="clear" w:color="auto" w:fill="FFFFFF"/>
        </w:rPr>
        <w:t>Court of Cassation</w:t>
      </w:r>
      <w:r w:rsidR="00184294" w:rsidRPr="00520B8F">
        <w:rPr>
          <w:rFonts w:ascii="Times New Roman" w:hAnsi="Times New Roman" w:cs="Times New Roman"/>
          <w:shd w:val="clear" w:color="auto" w:fill="FFFFFF"/>
        </w:rPr>
        <w:t>, it is stated that “….</w:t>
      </w:r>
      <w:r w:rsidR="00CA7899" w:rsidRPr="00520B8F">
        <w:rPr>
          <w:rFonts w:ascii="Times New Roman" w:hAnsi="Times New Roman" w:cs="Times New Roman"/>
          <w:shd w:val="clear" w:color="auto" w:fill="FFFFFF"/>
        </w:rPr>
        <w:t xml:space="preserve"> as of the accident on July 24</w:t>
      </w:r>
      <w:r w:rsidR="00CA7899" w:rsidRPr="00520B8F">
        <w:rPr>
          <w:rFonts w:ascii="Times New Roman" w:hAnsi="Times New Roman" w:cs="Times New Roman"/>
          <w:shd w:val="clear" w:color="auto" w:fill="FFFFFF"/>
          <w:vertAlign w:val="superscript"/>
        </w:rPr>
        <w:t>th</w:t>
      </w:r>
      <w:r w:rsidR="00CA7899" w:rsidRPr="00520B8F">
        <w:rPr>
          <w:rFonts w:ascii="Times New Roman" w:hAnsi="Times New Roman" w:cs="Times New Roman"/>
          <w:shd w:val="clear" w:color="auto" w:fill="FFFFFF"/>
        </w:rPr>
        <w:t>, 2016, the Regulation on the Disability Criteria Classification and Health Board Reports to be Given to the Disabled is in effect. Since it is not clear on which regulation the report dated April 12</w:t>
      </w:r>
      <w:r w:rsidR="00CA7899" w:rsidRPr="00520B8F">
        <w:rPr>
          <w:rFonts w:ascii="Times New Roman" w:hAnsi="Times New Roman" w:cs="Times New Roman"/>
          <w:shd w:val="clear" w:color="auto" w:fill="FFFFFF"/>
          <w:vertAlign w:val="superscript"/>
        </w:rPr>
        <w:t>th</w:t>
      </w:r>
      <w:r w:rsidR="00CA7899" w:rsidRPr="00520B8F">
        <w:rPr>
          <w:rFonts w:ascii="Times New Roman" w:hAnsi="Times New Roman" w:cs="Times New Roman"/>
          <w:shd w:val="clear" w:color="auto" w:fill="FFFFFF"/>
        </w:rPr>
        <w:t>, 2017 received from Samsun Training and Research Hospital is based, and the report dated June 29</w:t>
      </w:r>
      <w:r w:rsidR="00CA7899" w:rsidRPr="00520B8F">
        <w:rPr>
          <w:rFonts w:ascii="Times New Roman" w:hAnsi="Times New Roman" w:cs="Times New Roman"/>
          <w:shd w:val="clear" w:color="auto" w:fill="FFFFFF"/>
          <w:vertAlign w:val="superscript"/>
        </w:rPr>
        <w:t>th</w:t>
      </w:r>
      <w:r w:rsidR="00CA7899" w:rsidRPr="00520B8F">
        <w:rPr>
          <w:rFonts w:ascii="Times New Roman" w:hAnsi="Times New Roman" w:cs="Times New Roman"/>
          <w:shd w:val="clear" w:color="auto" w:fill="FFFFFF"/>
        </w:rPr>
        <w:t xml:space="preserve">, 2018 prepared by the Institute of Forensic Sciences Department of Medical Sciences (Forensic Medicine), </w:t>
      </w:r>
      <w:proofErr w:type="spellStart"/>
      <w:r w:rsidR="00CA7899" w:rsidRPr="00520B8F">
        <w:rPr>
          <w:rFonts w:ascii="Times New Roman" w:hAnsi="Times New Roman" w:cs="Times New Roman"/>
          <w:shd w:val="clear" w:color="auto" w:fill="FFFFFF"/>
        </w:rPr>
        <w:t>Karadeniz</w:t>
      </w:r>
      <w:proofErr w:type="spellEnd"/>
      <w:r w:rsidR="00CA7899" w:rsidRPr="00520B8F">
        <w:rPr>
          <w:rFonts w:ascii="Times New Roman" w:hAnsi="Times New Roman" w:cs="Times New Roman"/>
          <w:shd w:val="clear" w:color="auto" w:fill="FFFFFF"/>
        </w:rPr>
        <w:t xml:space="preserve"> Technical University and submitted to the file by the plaintiff upon the interim decision of the Appeal Committee </w:t>
      </w:r>
      <w:r w:rsidR="00CA7899" w:rsidRPr="00520B8F">
        <w:rPr>
          <w:rFonts w:ascii="Times New Roman" w:hAnsi="Times New Roman" w:cs="Times New Roman"/>
          <w:b/>
          <w:bCs/>
          <w:shd w:val="clear" w:color="auto" w:fill="FFFFFF"/>
        </w:rPr>
        <w:t xml:space="preserve">was not prepared in accordance with the provisions of the regulation in force at the date of the accident, both reports are </w:t>
      </w:r>
      <w:r w:rsidR="00621E27" w:rsidRPr="00520B8F">
        <w:rPr>
          <w:rFonts w:ascii="Times New Roman" w:hAnsi="Times New Roman" w:cs="Times New Roman"/>
          <w:b/>
          <w:bCs/>
          <w:shd w:val="clear" w:color="auto" w:fill="FFFFFF"/>
        </w:rPr>
        <w:t>unsuitable</w:t>
      </w:r>
      <w:r w:rsidR="00CA7899" w:rsidRPr="00520B8F">
        <w:rPr>
          <w:rFonts w:ascii="Times New Roman" w:hAnsi="Times New Roman" w:cs="Times New Roman"/>
          <w:b/>
          <w:bCs/>
          <w:shd w:val="clear" w:color="auto" w:fill="FFFFFF"/>
        </w:rPr>
        <w:t xml:space="preserve"> for inspection.</w:t>
      </w:r>
      <w:r w:rsidR="00CA7899" w:rsidRPr="00520B8F">
        <w:rPr>
          <w:rFonts w:ascii="Times New Roman" w:hAnsi="Times New Roman" w:cs="Times New Roman"/>
          <w:shd w:val="clear" w:color="auto" w:fill="FFFFFF"/>
        </w:rPr>
        <w:t xml:space="preserve"> Moreover, there is a clear contradiction between these two reports and the medical opinion on disability rates signed by a Forensic Medicine Specialist and a single doctor, dated July 15</w:t>
      </w:r>
      <w:r w:rsidR="00CA7899" w:rsidRPr="00520B8F">
        <w:rPr>
          <w:rFonts w:ascii="Times New Roman" w:hAnsi="Times New Roman" w:cs="Times New Roman"/>
          <w:shd w:val="clear" w:color="auto" w:fill="FFFFFF"/>
          <w:vertAlign w:val="superscript"/>
        </w:rPr>
        <w:t>th</w:t>
      </w:r>
      <w:r w:rsidR="00CA7899" w:rsidRPr="00520B8F">
        <w:rPr>
          <w:rFonts w:ascii="Times New Roman" w:hAnsi="Times New Roman" w:cs="Times New Roman"/>
          <w:shd w:val="clear" w:color="auto" w:fill="FFFFFF"/>
        </w:rPr>
        <w:t xml:space="preserve">, 2017. </w:t>
      </w:r>
      <w:r w:rsidR="00621E27" w:rsidRPr="00520B8F">
        <w:rPr>
          <w:rFonts w:ascii="Times New Roman" w:hAnsi="Times New Roman" w:cs="Times New Roman"/>
          <w:shd w:val="clear" w:color="auto" w:fill="FFFFFF"/>
        </w:rPr>
        <w:t>While</w:t>
      </w:r>
      <w:r w:rsidR="00CA7899" w:rsidRPr="00520B8F">
        <w:rPr>
          <w:rFonts w:ascii="Times New Roman" w:hAnsi="Times New Roman" w:cs="Times New Roman"/>
          <w:shd w:val="clear" w:color="auto" w:fill="FFFFFF"/>
        </w:rPr>
        <w:t xml:space="preserve"> the reports available in the file </w:t>
      </w:r>
      <w:r w:rsidR="00621E27" w:rsidRPr="00520B8F">
        <w:rPr>
          <w:rFonts w:ascii="Times New Roman" w:hAnsi="Times New Roman" w:cs="Times New Roman"/>
          <w:shd w:val="clear" w:color="auto" w:fill="FFFFFF"/>
        </w:rPr>
        <w:t>were</w:t>
      </w:r>
      <w:r w:rsidR="00CA7899" w:rsidRPr="00520B8F">
        <w:rPr>
          <w:rFonts w:ascii="Times New Roman" w:hAnsi="Times New Roman" w:cs="Times New Roman"/>
          <w:shd w:val="clear" w:color="auto" w:fill="FFFFFF"/>
        </w:rPr>
        <w:t xml:space="preserve"> not suitable for inspection, </w:t>
      </w:r>
      <w:r w:rsidR="00621E27" w:rsidRPr="00520B8F">
        <w:rPr>
          <w:rFonts w:ascii="Times New Roman" w:hAnsi="Times New Roman" w:cs="Times New Roman"/>
          <w:shd w:val="clear" w:color="auto" w:fill="FFFFFF"/>
        </w:rPr>
        <w:t>the arbitration committee</w:t>
      </w:r>
      <w:r w:rsidR="00CA7899" w:rsidRPr="00520B8F">
        <w:rPr>
          <w:rFonts w:ascii="Times New Roman" w:hAnsi="Times New Roman" w:cs="Times New Roman"/>
          <w:shd w:val="clear" w:color="auto" w:fill="FFFFFF"/>
        </w:rPr>
        <w:t xml:space="preserve"> </w:t>
      </w:r>
      <w:r w:rsidR="00621E27" w:rsidRPr="00520B8F">
        <w:rPr>
          <w:rFonts w:ascii="Times New Roman" w:hAnsi="Times New Roman" w:cs="Times New Roman"/>
          <w:shd w:val="clear" w:color="auto" w:fill="FFFFFF"/>
        </w:rPr>
        <w:t>should have a new report</w:t>
      </w:r>
      <w:r w:rsidR="00CA7899" w:rsidRPr="00520B8F">
        <w:rPr>
          <w:rFonts w:ascii="Times New Roman" w:hAnsi="Times New Roman" w:cs="Times New Roman"/>
          <w:shd w:val="clear" w:color="auto" w:fill="FFFFFF"/>
        </w:rPr>
        <w:t xml:space="preserve"> </w:t>
      </w:r>
      <w:r w:rsidR="00621E27" w:rsidRPr="00520B8F">
        <w:rPr>
          <w:rFonts w:ascii="Times New Roman" w:hAnsi="Times New Roman" w:cs="Times New Roman"/>
          <w:shd w:val="clear" w:color="auto" w:fill="FFFFFF"/>
        </w:rPr>
        <w:t xml:space="preserve">from the Specialized Board 3 of the Forensic Medicine Institute or from a Forensic Medicine Department of a university, </w:t>
      </w:r>
      <w:r w:rsidR="00CA7899" w:rsidRPr="00520B8F">
        <w:rPr>
          <w:rFonts w:ascii="Times New Roman" w:hAnsi="Times New Roman" w:cs="Times New Roman"/>
          <w:shd w:val="clear" w:color="auto" w:fill="FFFFFF"/>
        </w:rPr>
        <w:t>based on the provisions of the "Regulation on Health Board Repor</w:t>
      </w:r>
      <w:r w:rsidR="00621E27" w:rsidRPr="00520B8F">
        <w:rPr>
          <w:rFonts w:ascii="Times New Roman" w:hAnsi="Times New Roman" w:cs="Times New Roman"/>
          <w:shd w:val="clear" w:color="auto" w:fill="FFFFFF"/>
        </w:rPr>
        <w:t>ts to be Given to the Disabled"</w:t>
      </w:r>
      <w:r w:rsidR="00CA7899" w:rsidRPr="00520B8F">
        <w:rPr>
          <w:rFonts w:ascii="Times New Roman" w:hAnsi="Times New Roman" w:cs="Times New Roman"/>
          <w:shd w:val="clear" w:color="auto" w:fill="FFFFFF"/>
        </w:rPr>
        <w:t xml:space="preserve"> which </w:t>
      </w:r>
      <w:r w:rsidR="00621E27" w:rsidRPr="00520B8F">
        <w:rPr>
          <w:rFonts w:ascii="Times New Roman" w:hAnsi="Times New Roman" w:cs="Times New Roman"/>
          <w:shd w:val="clear" w:color="auto" w:fill="FFFFFF"/>
        </w:rPr>
        <w:t>was</w:t>
      </w:r>
      <w:r w:rsidR="00CA7899" w:rsidRPr="00520B8F">
        <w:rPr>
          <w:rFonts w:ascii="Times New Roman" w:hAnsi="Times New Roman" w:cs="Times New Roman"/>
          <w:shd w:val="clear" w:color="auto" w:fill="FFFFFF"/>
        </w:rPr>
        <w:t xml:space="preserve"> in force as of the date of the accident regarding the disability status of the plaintiff</w:t>
      </w:r>
      <w:r w:rsidR="00621E27" w:rsidRPr="00520B8F">
        <w:rPr>
          <w:rFonts w:ascii="Times New Roman" w:hAnsi="Times New Roman" w:cs="Times New Roman"/>
          <w:shd w:val="clear" w:color="auto" w:fill="FFFFFF"/>
        </w:rPr>
        <w:t>.</w:t>
      </w:r>
      <w:r w:rsidR="00CA7899" w:rsidRPr="00520B8F">
        <w:rPr>
          <w:rFonts w:ascii="Times New Roman" w:hAnsi="Times New Roman" w:cs="Times New Roman"/>
          <w:shd w:val="clear" w:color="auto" w:fill="FFFFFF"/>
        </w:rPr>
        <w:t xml:space="preserve"> </w:t>
      </w:r>
      <w:r w:rsidR="00621E27" w:rsidRPr="00520B8F">
        <w:rPr>
          <w:rFonts w:ascii="Times New Roman" w:hAnsi="Times New Roman" w:cs="Times New Roman"/>
          <w:shd w:val="clear" w:color="auto" w:fill="FFFFFF"/>
        </w:rPr>
        <w:t>Since</w:t>
      </w:r>
      <w:r w:rsidR="00CA7899" w:rsidRPr="00520B8F">
        <w:rPr>
          <w:rFonts w:ascii="Times New Roman" w:hAnsi="Times New Roman" w:cs="Times New Roman"/>
          <w:shd w:val="clear" w:color="auto" w:fill="FFFFFF"/>
        </w:rPr>
        <w:t xml:space="preserve"> </w:t>
      </w:r>
      <w:r w:rsidR="00621E27" w:rsidRPr="00520B8F">
        <w:rPr>
          <w:rFonts w:ascii="Times New Roman" w:hAnsi="Times New Roman" w:cs="Times New Roman"/>
          <w:shd w:val="clear" w:color="auto" w:fill="FFFFFF"/>
        </w:rPr>
        <w:t xml:space="preserve">a proper </w:t>
      </w:r>
      <w:r w:rsidR="00CA7899" w:rsidRPr="00520B8F">
        <w:rPr>
          <w:rFonts w:ascii="Times New Roman" w:hAnsi="Times New Roman" w:cs="Times New Roman"/>
          <w:shd w:val="clear" w:color="auto" w:fill="FFFFFF"/>
        </w:rPr>
        <w:t xml:space="preserve">new report should </w:t>
      </w:r>
      <w:r w:rsidR="00621E27" w:rsidRPr="00520B8F">
        <w:rPr>
          <w:rFonts w:ascii="Times New Roman" w:hAnsi="Times New Roman" w:cs="Times New Roman"/>
          <w:shd w:val="clear" w:color="auto" w:fill="FFFFFF"/>
        </w:rPr>
        <w:t xml:space="preserve">have </w:t>
      </w:r>
      <w:r w:rsidR="00CA7899" w:rsidRPr="00520B8F">
        <w:rPr>
          <w:rFonts w:ascii="Times New Roman" w:hAnsi="Times New Roman" w:cs="Times New Roman"/>
          <w:shd w:val="clear" w:color="auto" w:fill="FFFFFF"/>
        </w:rPr>
        <w:t>be</w:t>
      </w:r>
      <w:r w:rsidR="00621E27" w:rsidRPr="00520B8F">
        <w:rPr>
          <w:rFonts w:ascii="Times New Roman" w:hAnsi="Times New Roman" w:cs="Times New Roman"/>
          <w:shd w:val="clear" w:color="auto" w:fill="FFFFFF"/>
        </w:rPr>
        <w:t>en obtained,</w:t>
      </w:r>
      <w:r w:rsidR="00CA7899" w:rsidRPr="00520B8F">
        <w:rPr>
          <w:rFonts w:ascii="Times New Roman" w:hAnsi="Times New Roman" w:cs="Times New Roman"/>
          <w:shd w:val="clear" w:color="auto" w:fill="FFFFFF"/>
        </w:rPr>
        <w:t xml:space="preserve"> the contradiction between the reports in the file </w:t>
      </w:r>
      <w:r w:rsidR="00621E27" w:rsidRPr="00520B8F">
        <w:rPr>
          <w:rFonts w:ascii="Times New Roman" w:hAnsi="Times New Roman" w:cs="Times New Roman"/>
          <w:shd w:val="clear" w:color="auto" w:fill="FFFFFF"/>
        </w:rPr>
        <w:t>resolved, the decision</w:t>
      </w:r>
      <w:r w:rsidR="00CA7899" w:rsidRPr="00520B8F">
        <w:rPr>
          <w:rFonts w:ascii="Times New Roman" w:hAnsi="Times New Roman" w:cs="Times New Roman"/>
          <w:shd w:val="clear" w:color="auto" w:fill="FFFFFF"/>
        </w:rPr>
        <w:t xml:space="preserve"> made by examining the other objections of the defendant's a</w:t>
      </w:r>
      <w:r w:rsidR="00621E27" w:rsidRPr="00520B8F">
        <w:rPr>
          <w:rFonts w:ascii="Times New Roman" w:hAnsi="Times New Roman" w:cs="Times New Roman"/>
          <w:shd w:val="clear" w:color="auto" w:fill="FFFFFF"/>
        </w:rPr>
        <w:t>ttorney according to the result;</w:t>
      </w:r>
      <w:r w:rsidR="00CA7899" w:rsidRPr="00520B8F">
        <w:rPr>
          <w:rFonts w:ascii="Times New Roman" w:hAnsi="Times New Roman" w:cs="Times New Roman"/>
          <w:shd w:val="clear" w:color="auto" w:fill="FFFFFF"/>
        </w:rPr>
        <w:t xml:space="preserve"> it was not considered correct to make a written decision with a</w:t>
      </w:r>
      <w:r w:rsidR="12A61DA3" w:rsidRPr="00520B8F">
        <w:rPr>
          <w:rFonts w:ascii="Times New Roman" w:hAnsi="Times New Roman" w:cs="Times New Roman"/>
          <w:shd w:val="clear" w:color="auto" w:fill="FFFFFF"/>
        </w:rPr>
        <w:t>n</w:t>
      </w:r>
      <w:r w:rsidR="00CA7899" w:rsidRPr="00520B8F">
        <w:rPr>
          <w:rFonts w:ascii="Times New Roman" w:hAnsi="Times New Roman" w:cs="Times New Roman"/>
          <w:shd w:val="clear" w:color="auto" w:fill="FFFFFF"/>
        </w:rPr>
        <w:t xml:space="preserve"> erroneous assessment, improper reasoning and incomplete examination.</w:t>
      </w:r>
      <w:r w:rsidR="00621E27" w:rsidRPr="00520B8F">
        <w:rPr>
          <w:rFonts w:ascii="Times New Roman" w:hAnsi="Times New Roman" w:cs="Times New Roman"/>
          <w:shd w:val="clear" w:color="auto" w:fill="FFFFFF"/>
        </w:rPr>
        <w:t>” Thus, the deci</w:t>
      </w:r>
      <w:r w:rsidR="00011D81" w:rsidRPr="00520B8F">
        <w:rPr>
          <w:rFonts w:ascii="Times New Roman" w:hAnsi="Times New Roman" w:cs="Times New Roman"/>
          <w:shd w:val="clear" w:color="auto" w:fill="FFFFFF"/>
        </w:rPr>
        <w:t xml:space="preserve">sion was reversed. </w:t>
      </w:r>
    </w:p>
    <w:p w14:paraId="24CF7CFF" w14:textId="65C19810" w:rsidR="00CD1CAD" w:rsidRPr="00520B8F" w:rsidRDefault="00CD1CAD" w:rsidP="533F4A94">
      <w:pPr>
        <w:jc w:val="both"/>
        <w:rPr>
          <w:rFonts w:ascii="Times New Roman" w:hAnsi="Times New Roman" w:cs="Times New Roman"/>
        </w:rPr>
      </w:pPr>
    </w:p>
    <w:p w14:paraId="540FB767" w14:textId="2DA53013" w:rsidR="00CD1CAD" w:rsidRPr="00520B8F" w:rsidRDefault="00621E27" w:rsidP="009124AD">
      <w:pPr>
        <w:jc w:val="both"/>
        <w:rPr>
          <w:rFonts w:ascii="Times New Roman" w:hAnsi="Times New Roman" w:cs="Times New Roman"/>
          <w:shd w:val="clear" w:color="auto" w:fill="FFFFFF"/>
        </w:rPr>
      </w:pPr>
      <w:r w:rsidRPr="00520B8F">
        <w:rPr>
          <w:rFonts w:ascii="Times New Roman" w:hAnsi="Times New Roman" w:cs="Times New Roman"/>
          <w:shd w:val="clear" w:color="auto" w:fill="FFFFFF"/>
        </w:rPr>
        <w:t xml:space="preserve">In the decision E:2021/2544 K:2021/2371 of the 4th Civil Chamber of the </w:t>
      </w:r>
      <w:r w:rsidR="00A92283" w:rsidRPr="00520B8F">
        <w:rPr>
          <w:rFonts w:ascii="Times New Roman" w:hAnsi="Times New Roman" w:cs="Times New Roman"/>
          <w:shd w:val="clear" w:color="auto" w:fill="FFFFFF"/>
        </w:rPr>
        <w:t>Court of Cassation</w:t>
      </w:r>
      <w:r w:rsidRPr="00520B8F">
        <w:rPr>
          <w:rFonts w:ascii="Times New Roman" w:hAnsi="Times New Roman" w:cs="Times New Roman"/>
          <w:shd w:val="clear" w:color="auto" w:fill="FFFFFF"/>
        </w:rPr>
        <w:t xml:space="preserve">, it is stated that “…[i]n the disability medical report submitted by the plaintiff, it was determined that the plaintiff was 13% disabled due to femur fracture, insufficiency of union and hip limitation. </w:t>
      </w:r>
      <w:r w:rsidR="000A76FC" w:rsidRPr="00520B8F">
        <w:rPr>
          <w:rFonts w:ascii="Times New Roman" w:hAnsi="Times New Roman" w:cs="Times New Roman"/>
          <w:shd w:val="clear" w:color="auto" w:fill="FFFFFF"/>
        </w:rPr>
        <w:t xml:space="preserve">Upon the </w:t>
      </w:r>
      <w:r w:rsidR="00134BAB" w:rsidRPr="00520B8F">
        <w:rPr>
          <w:rFonts w:ascii="Times New Roman" w:hAnsi="Times New Roman" w:cs="Times New Roman"/>
          <w:shd w:val="clear" w:color="auto" w:fill="FFFFFF"/>
        </w:rPr>
        <w:t>defendant</w:t>
      </w:r>
      <w:r w:rsidR="000A76FC" w:rsidRPr="00520B8F">
        <w:rPr>
          <w:rFonts w:ascii="Times New Roman" w:hAnsi="Times New Roman" w:cs="Times New Roman"/>
          <w:shd w:val="clear" w:color="auto" w:fill="FFFFFF"/>
        </w:rPr>
        <w:t>’s objection, i</w:t>
      </w:r>
      <w:r w:rsidRPr="00520B8F">
        <w:rPr>
          <w:rFonts w:ascii="Times New Roman" w:hAnsi="Times New Roman" w:cs="Times New Roman"/>
          <w:shd w:val="clear" w:color="auto" w:fill="FFFFFF"/>
        </w:rPr>
        <w:t xml:space="preserve">t was stated that there was no room for his </w:t>
      </w:r>
      <w:r w:rsidR="000A76FC" w:rsidRPr="00520B8F">
        <w:rPr>
          <w:rFonts w:ascii="Times New Roman" w:hAnsi="Times New Roman" w:cs="Times New Roman"/>
          <w:shd w:val="clear" w:color="auto" w:fill="FFFFFF"/>
        </w:rPr>
        <w:t>disability appointment,</w:t>
      </w:r>
      <w:r w:rsidRPr="00520B8F">
        <w:rPr>
          <w:rFonts w:ascii="Times New Roman" w:hAnsi="Times New Roman" w:cs="Times New Roman"/>
          <w:shd w:val="clear" w:color="auto" w:fill="FFFFFF"/>
        </w:rPr>
        <w:t xml:space="preserve"> and the </w:t>
      </w:r>
      <w:r w:rsidR="0058550E" w:rsidRPr="00520B8F">
        <w:rPr>
          <w:rFonts w:ascii="Times New Roman" w:hAnsi="Times New Roman" w:cs="Times New Roman"/>
          <w:shd w:val="clear" w:color="auto" w:fill="FFFFFF"/>
        </w:rPr>
        <w:t xml:space="preserve">arbitration committee </w:t>
      </w:r>
      <w:r w:rsidRPr="00520B8F">
        <w:rPr>
          <w:rFonts w:ascii="Times New Roman" w:hAnsi="Times New Roman" w:cs="Times New Roman"/>
          <w:shd w:val="clear" w:color="auto" w:fill="FFFFFF"/>
        </w:rPr>
        <w:t xml:space="preserve">decided to reject the </w:t>
      </w:r>
      <w:r w:rsidR="00134BAB" w:rsidRPr="00520B8F">
        <w:rPr>
          <w:rFonts w:ascii="Times New Roman" w:hAnsi="Times New Roman" w:cs="Times New Roman"/>
          <w:shd w:val="clear" w:color="auto" w:fill="FFFFFF"/>
        </w:rPr>
        <w:t>defendant</w:t>
      </w:r>
      <w:r w:rsidRPr="00520B8F">
        <w:rPr>
          <w:rFonts w:ascii="Times New Roman" w:hAnsi="Times New Roman" w:cs="Times New Roman"/>
          <w:shd w:val="clear" w:color="auto" w:fill="FFFFFF"/>
        </w:rPr>
        <w:t xml:space="preserve">'s application based on </w:t>
      </w:r>
      <w:r w:rsidR="000A76FC" w:rsidRPr="00520B8F">
        <w:rPr>
          <w:rFonts w:ascii="Times New Roman" w:hAnsi="Times New Roman" w:cs="Times New Roman"/>
          <w:shd w:val="clear" w:color="auto" w:fill="FFFFFF"/>
        </w:rPr>
        <w:t xml:space="preserve">a committee </w:t>
      </w:r>
      <w:r w:rsidRPr="00520B8F">
        <w:rPr>
          <w:rFonts w:ascii="Times New Roman" w:hAnsi="Times New Roman" w:cs="Times New Roman"/>
          <w:shd w:val="clear" w:color="auto" w:fill="FFFFFF"/>
        </w:rPr>
        <w:t>report</w:t>
      </w:r>
      <w:r w:rsidR="000A76FC" w:rsidRPr="00520B8F">
        <w:rPr>
          <w:rFonts w:ascii="Times New Roman" w:hAnsi="Times New Roman" w:cs="Times New Roman"/>
          <w:shd w:val="clear" w:color="auto" w:fill="FFFFFF"/>
        </w:rPr>
        <w:t xml:space="preserve"> from </w:t>
      </w:r>
      <w:proofErr w:type="spellStart"/>
      <w:r w:rsidR="000A76FC" w:rsidRPr="00520B8F">
        <w:rPr>
          <w:rFonts w:ascii="Times New Roman" w:hAnsi="Times New Roman" w:cs="Times New Roman"/>
          <w:shd w:val="clear" w:color="auto" w:fill="FFFFFF"/>
        </w:rPr>
        <w:t>Hacettepe</w:t>
      </w:r>
      <w:proofErr w:type="spellEnd"/>
      <w:r w:rsidR="000A76FC" w:rsidRPr="00520B8F">
        <w:rPr>
          <w:rFonts w:ascii="Times New Roman" w:hAnsi="Times New Roman" w:cs="Times New Roman"/>
          <w:shd w:val="clear" w:color="auto" w:fill="FFFFFF"/>
        </w:rPr>
        <w:t xml:space="preserve"> University, which stated that there was no sequel disability</w:t>
      </w:r>
      <w:r w:rsidRPr="00520B8F">
        <w:rPr>
          <w:rFonts w:ascii="Times New Roman" w:hAnsi="Times New Roman" w:cs="Times New Roman"/>
          <w:shd w:val="clear" w:color="auto" w:fill="FFFFFF"/>
        </w:rPr>
        <w:t>. Although it is not clear which regulation is taken as basis in terms of determining the disability rate in the health report submitted by the plaintiff, and</w:t>
      </w:r>
      <w:r w:rsidRPr="00520B8F">
        <w:rPr>
          <w:rFonts w:ascii="Times New Roman" w:hAnsi="Times New Roman" w:cs="Times New Roman"/>
          <w:b/>
          <w:bCs/>
          <w:shd w:val="clear" w:color="auto" w:fill="FFFFFF"/>
        </w:rPr>
        <w:t xml:space="preserve"> the report is not suitable for making a decision as such, there is a clear contradiction between the report received by</w:t>
      </w:r>
      <w:r w:rsidR="000A76FC" w:rsidRPr="00520B8F">
        <w:rPr>
          <w:rFonts w:ascii="Times New Roman" w:hAnsi="Times New Roman" w:cs="Times New Roman"/>
          <w:b/>
          <w:bCs/>
          <w:shd w:val="clear" w:color="auto" w:fill="FFFFFF"/>
        </w:rPr>
        <w:t xml:space="preserve"> the arbitration c</w:t>
      </w:r>
      <w:r w:rsidRPr="00520B8F">
        <w:rPr>
          <w:rFonts w:ascii="Times New Roman" w:hAnsi="Times New Roman" w:cs="Times New Roman"/>
          <w:b/>
          <w:bCs/>
          <w:shd w:val="clear" w:color="auto" w:fill="FFFFFF"/>
        </w:rPr>
        <w:t xml:space="preserve">ommittee and the disability health report </w:t>
      </w:r>
      <w:r w:rsidRPr="00520B8F">
        <w:rPr>
          <w:rFonts w:ascii="Times New Roman" w:hAnsi="Times New Roman" w:cs="Times New Roman"/>
          <w:shd w:val="clear" w:color="auto" w:fill="FFFFFF"/>
        </w:rPr>
        <w:t xml:space="preserve">submitted by the plaintiff. </w:t>
      </w:r>
      <w:r w:rsidR="000A76FC" w:rsidRPr="00520B8F">
        <w:rPr>
          <w:rFonts w:ascii="Times New Roman" w:hAnsi="Times New Roman" w:cs="Times New Roman"/>
          <w:shd w:val="clear" w:color="auto" w:fill="FFFFFF"/>
        </w:rPr>
        <w:t>Since</w:t>
      </w:r>
      <w:r w:rsidRPr="00520B8F">
        <w:rPr>
          <w:rFonts w:ascii="Times New Roman" w:hAnsi="Times New Roman" w:cs="Times New Roman"/>
          <w:shd w:val="clear" w:color="auto" w:fill="FFFFFF"/>
        </w:rPr>
        <w:t xml:space="preserve"> a new report should </w:t>
      </w:r>
      <w:r w:rsidR="000A76FC" w:rsidRPr="00520B8F">
        <w:rPr>
          <w:rFonts w:ascii="Times New Roman" w:hAnsi="Times New Roman" w:cs="Times New Roman"/>
          <w:shd w:val="clear" w:color="auto" w:fill="FFFFFF"/>
        </w:rPr>
        <w:t xml:space="preserve">have </w:t>
      </w:r>
      <w:r w:rsidRPr="00520B8F">
        <w:rPr>
          <w:rFonts w:ascii="Times New Roman" w:hAnsi="Times New Roman" w:cs="Times New Roman"/>
          <w:shd w:val="clear" w:color="auto" w:fill="FFFFFF"/>
        </w:rPr>
        <w:t>be</w:t>
      </w:r>
      <w:r w:rsidR="000A76FC" w:rsidRPr="00520B8F">
        <w:rPr>
          <w:rFonts w:ascii="Times New Roman" w:hAnsi="Times New Roman" w:cs="Times New Roman"/>
          <w:shd w:val="clear" w:color="auto" w:fill="FFFFFF"/>
        </w:rPr>
        <w:t>en</w:t>
      </w:r>
      <w:r w:rsidRPr="00520B8F">
        <w:rPr>
          <w:rFonts w:ascii="Times New Roman" w:hAnsi="Times New Roman" w:cs="Times New Roman"/>
          <w:shd w:val="clear" w:color="auto" w:fill="FFFFFF"/>
        </w:rPr>
        <w:t xml:space="preserve"> taken and a </w:t>
      </w:r>
      <w:r w:rsidR="000A76FC" w:rsidRPr="00520B8F">
        <w:rPr>
          <w:rFonts w:ascii="Times New Roman" w:hAnsi="Times New Roman" w:cs="Times New Roman"/>
          <w:shd w:val="clear" w:color="auto" w:fill="FFFFFF"/>
        </w:rPr>
        <w:t>decision should have been made by the arbitration c</w:t>
      </w:r>
      <w:r w:rsidRPr="00520B8F">
        <w:rPr>
          <w:rFonts w:ascii="Times New Roman" w:hAnsi="Times New Roman" w:cs="Times New Roman"/>
          <w:shd w:val="clear" w:color="auto" w:fill="FFFFFF"/>
        </w:rPr>
        <w:t>ommittee to resol</w:t>
      </w:r>
      <w:r w:rsidR="000A76FC" w:rsidRPr="00520B8F">
        <w:rPr>
          <w:rFonts w:ascii="Times New Roman" w:hAnsi="Times New Roman" w:cs="Times New Roman"/>
          <w:shd w:val="clear" w:color="auto" w:fill="FFFFFF"/>
        </w:rPr>
        <w:t xml:space="preserve">ve the contradiction, </w:t>
      </w:r>
      <w:r w:rsidRPr="00520B8F">
        <w:rPr>
          <w:rFonts w:ascii="Times New Roman" w:hAnsi="Times New Roman" w:cs="Times New Roman"/>
          <w:shd w:val="clear" w:color="auto" w:fill="FFFFFF"/>
        </w:rPr>
        <w:t xml:space="preserve">the decision </w:t>
      </w:r>
      <w:r w:rsidR="000A76FC" w:rsidRPr="00520B8F">
        <w:rPr>
          <w:rFonts w:ascii="Times New Roman" w:hAnsi="Times New Roman" w:cs="Times New Roman"/>
          <w:shd w:val="clear" w:color="auto" w:fill="FFFFFF"/>
        </w:rPr>
        <w:t xml:space="preserve">as </w:t>
      </w:r>
      <w:r w:rsidRPr="00520B8F">
        <w:rPr>
          <w:rFonts w:ascii="Times New Roman" w:hAnsi="Times New Roman" w:cs="Times New Roman"/>
          <w:shd w:val="clear" w:color="auto" w:fill="FFFFFF"/>
        </w:rPr>
        <w:t>a result of incomplete examination and research</w:t>
      </w:r>
      <w:r w:rsidR="000A76FC" w:rsidRPr="00520B8F">
        <w:rPr>
          <w:rFonts w:ascii="Times New Roman" w:hAnsi="Times New Roman" w:cs="Times New Roman"/>
          <w:shd w:val="clear" w:color="auto" w:fill="FFFFFF"/>
        </w:rPr>
        <w:t xml:space="preserve"> was considered incorrect</w:t>
      </w:r>
      <w:r w:rsidRPr="00520B8F">
        <w:rPr>
          <w:rFonts w:ascii="Times New Roman" w:hAnsi="Times New Roman" w:cs="Times New Roman"/>
          <w:shd w:val="clear" w:color="auto" w:fill="FFFFFF"/>
        </w:rPr>
        <w:t>, and it was necessary to decide to reverse the decision for this reason.</w:t>
      </w:r>
      <w:r w:rsidR="00011D81" w:rsidRPr="00520B8F">
        <w:rPr>
          <w:rFonts w:ascii="Times New Roman" w:hAnsi="Times New Roman" w:cs="Times New Roman"/>
          <w:shd w:val="clear" w:color="auto" w:fill="FFFFFF"/>
        </w:rPr>
        <w:t xml:space="preserve">” </w:t>
      </w:r>
      <w:r w:rsidR="000A76FC" w:rsidRPr="00520B8F">
        <w:rPr>
          <w:rFonts w:ascii="Times New Roman" w:hAnsi="Times New Roman" w:cs="Times New Roman"/>
          <w:shd w:val="clear" w:color="auto" w:fill="FFFFFF"/>
        </w:rPr>
        <w:t>A large number of contradictory, ill-founded reports continue to result in very long proceedings.</w:t>
      </w:r>
    </w:p>
    <w:p w14:paraId="0686DFDE" w14:textId="77777777" w:rsidR="000A76FC" w:rsidRPr="00520B8F" w:rsidRDefault="000A76FC" w:rsidP="009124AD">
      <w:pPr>
        <w:jc w:val="both"/>
        <w:rPr>
          <w:rFonts w:ascii="Times New Roman" w:hAnsi="Times New Roman" w:cs="Times New Roman"/>
          <w:shd w:val="clear" w:color="auto" w:fill="FFFFFF"/>
        </w:rPr>
      </w:pPr>
    </w:p>
    <w:p w14:paraId="104572F4" w14:textId="77777777" w:rsidR="000A76FC" w:rsidRPr="00520B8F" w:rsidRDefault="000A76FC"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2.3. Measures Taken with respect to Domestic Proceedings</w:t>
      </w:r>
    </w:p>
    <w:p w14:paraId="548E3619" w14:textId="4511490C" w:rsidR="00245263" w:rsidRPr="00520B8F" w:rsidRDefault="000A76FC" w:rsidP="00EA29C5">
      <w:pPr>
        <w:ind w:left="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 xml:space="preserve">2.3.1. </w:t>
      </w:r>
      <w:r w:rsidR="00245263" w:rsidRPr="00520B8F">
        <w:rPr>
          <w:rFonts w:ascii="Times New Roman" w:hAnsi="Times New Roman" w:cs="Times New Roman"/>
          <w:b/>
          <w:shd w:val="clear" w:color="auto" w:fill="FFFFFF"/>
        </w:rPr>
        <w:t>Dropping of charges on account of the application of prescription periods or refusal of administrative authorization to initiate criminal proceedings</w:t>
      </w:r>
    </w:p>
    <w:p w14:paraId="125B5310" w14:textId="77777777" w:rsidR="00245263" w:rsidRPr="00520B8F" w:rsidRDefault="00245263" w:rsidP="009124AD">
      <w:pPr>
        <w:jc w:val="both"/>
        <w:rPr>
          <w:rFonts w:ascii="Times New Roman" w:hAnsi="Times New Roman" w:cs="Times New Roman"/>
          <w:shd w:val="clear" w:color="auto" w:fill="FFFFFF"/>
        </w:rPr>
      </w:pPr>
    </w:p>
    <w:p w14:paraId="6EBE3A24" w14:textId="64E61D1F" w:rsidR="00245263" w:rsidRPr="00520B8F" w:rsidRDefault="00245263" w:rsidP="009124AD">
      <w:pPr>
        <w:jc w:val="both"/>
        <w:rPr>
          <w:rFonts w:ascii="Times New Roman" w:hAnsi="Times New Roman" w:cs="Times New Roman"/>
          <w:shd w:val="clear" w:color="auto" w:fill="FFFFFF"/>
        </w:rPr>
      </w:pPr>
      <w:r w:rsidRPr="00520B8F">
        <w:rPr>
          <w:rFonts w:ascii="Times New Roman" w:hAnsi="Times New Roman" w:cs="Times New Roman"/>
          <w:shd w:val="clear" w:color="auto" w:fill="FFFFFF"/>
        </w:rPr>
        <w:t>2</w:t>
      </w:r>
      <w:r w:rsidR="00520B8F">
        <w:rPr>
          <w:rFonts w:ascii="Times New Roman" w:hAnsi="Times New Roman" w:cs="Times New Roman"/>
          <w:shd w:val="clear" w:color="auto" w:fill="FFFFFF"/>
        </w:rPr>
        <w:t>4</w:t>
      </w:r>
      <w:r w:rsidRPr="00520B8F">
        <w:rPr>
          <w:rFonts w:ascii="Times New Roman" w:hAnsi="Times New Roman" w:cs="Times New Roman"/>
          <w:shd w:val="clear" w:color="auto" w:fill="FFFFFF"/>
        </w:rPr>
        <w:t xml:space="preserve">. </w:t>
      </w:r>
      <w:r w:rsidR="00B14036" w:rsidRPr="00520B8F">
        <w:rPr>
          <w:rFonts w:ascii="Times New Roman" w:hAnsi="Times New Roman" w:cs="Times New Roman"/>
          <w:shd w:val="clear" w:color="auto" w:fill="FFFFFF"/>
        </w:rPr>
        <w:t>The</w:t>
      </w:r>
      <w:r w:rsidR="00531303" w:rsidRPr="00520B8F">
        <w:rPr>
          <w:rFonts w:ascii="Times New Roman" w:hAnsi="Times New Roman" w:cs="Times New Roman"/>
          <w:shd w:val="clear" w:color="auto" w:fill="FFFFFF"/>
        </w:rPr>
        <w:t xml:space="preserve"> paragraphs 138</w:t>
      </w:r>
      <w:r w:rsidRPr="00520B8F">
        <w:rPr>
          <w:rFonts w:ascii="Times New Roman" w:hAnsi="Times New Roman" w:cs="Times New Roman"/>
          <w:shd w:val="clear" w:color="auto" w:fill="FFFFFF"/>
        </w:rPr>
        <w:t xml:space="preserve"> </w:t>
      </w:r>
      <w:r w:rsidR="00B14036" w:rsidRPr="00520B8F">
        <w:rPr>
          <w:rFonts w:ascii="Times New Roman" w:hAnsi="Times New Roman" w:cs="Times New Roman"/>
          <w:shd w:val="clear" w:color="auto" w:fill="FFFFFF"/>
        </w:rPr>
        <w:t xml:space="preserve">to </w:t>
      </w:r>
      <w:r w:rsidRPr="00520B8F">
        <w:rPr>
          <w:rFonts w:ascii="Times New Roman" w:hAnsi="Times New Roman" w:cs="Times New Roman"/>
          <w:shd w:val="clear" w:color="auto" w:fill="FFFFFF"/>
        </w:rPr>
        <w:t>1</w:t>
      </w:r>
      <w:r w:rsidR="00531303" w:rsidRPr="00520B8F">
        <w:rPr>
          <w:rFonts w:ascii="Times New Roman" w:hAnsi="Times New Roman" w:cs="Times New Roman"/>
          <w:shd w:val="clear" w:color="auto" w:fill="FFFFFF"/>
        </w:rPr>
        <w:t>55</w:t>
      </w:r>
      <w:r w:rsidR="00B14036" w:rsidRPr="00520B8F">
        <w:rPr>
          <w:rFonts w:ascii="Times New Roman" w:hAnsi="Times New Roman" w:cs="Times New Roman"/>
          <w:shd w:val="clear" w:color="auto" w:fill="FFFFFF"/>
        </w:rPr>
        <w:t xml:space="preserve"> of the Government's opinion include </w:t>
      </w:r>
      <w:r w:rsidRPr="00520B8F">
        <w:rPr>
          <w:rFonts w:ascii="Times New Roman" w:hAnsi="Times New Roman" w:cs="Times New Roman"/>
          <w:shd w:val="clear" w:color="auto" w:fill="FFFFFF"/>
        </w:rPr>
        <w:t xml:space="preserve">information on the legal situation regarding the failure to carry out a criminal or disciplinary investigation due to the </w:t>
      </w:r>
      <w:r w:rsidR="46E98AEC" w:rsidRPr="00520B8F">
        <w:rPr>
          <w:rFonts w:ascii="Times New Roman" w:hAnsi="Times New Roman" w:cs="Times New Roman"/>
          <w:shd w:val="clear" w:color="auto" w:fill="FFFFFF"/>
        </w:rPr>
        <w:t xml:space="preserve">occurrence of the </w:t>
      </w:r>
      <w:r w:rsidRPr="00520B8F">
        <w:rPr>
          <w:rFonts w:ascii="Times New Roman" w:hAnsi="Times New Roman" w:cs="Times New Roman"/>
          <w:shd w:val="clear" w:color="auto" w:fill="FFFFFF"/>
        </w:rPr>
        <w:t>statute of limitations. The number of personnel who are subject to criminal or disciplinary investigations for reasons arising from medical negligence is unknown. Data on this subject are not shared with the public. Again, no information is available on the number of personnel whose criminal or disciplinary investigations have been closed due to the statute of limitations. There are very serious problems with the general investigation of public officials. In cases arising from medical negligence due to the statute of limitations, it is seen that the cases are closed by dismissal decision</w:t>
      </w:r>
      <w:r w:rsidR="00B14036" w:rsidRPr="00520B8F">
        <w:rPr>
          <w:rFonts w:ascii="Times New Roman" w:hAnsi="Times New Roman" w:cs="Times New Roman"/>
          <w:shd w:val="clear" w:color="auto" w:fill="FFFFFF"/>
        </w:rPr>
        <w:t>s or upholding</w:t>
      </w:r>
      <w:r w:rsidRPr="00520B8F">
        <w:rPr>
          <w:rFonts w:ascii="Times New Roman" w:hAnsi="Times New Roman" w:cs="Times New Roman"/>
          <w:shd w:val="clear" w:color="auto" w:fill="FFFFFF"/>
        </w:rPr>
        <w:t xml:space="preserve"> dismissal decisions.</w:t>
      </w:r>
      <w:r w:rsidR="00B14036" w:rsidRPr="00520B8F">
        <w:rPr>
          <w:rStyle w:val="DipnotBavurusu"/>
          <w:rFonts w:ascii="Times New Roman" w:hAnsi="Times New Roman" w:cs="Times New Roman"/>
          <w:shd w:val="clear" w:color="auto" w:fill="FFFFFF"/>
        </w:rPr>
        <w:footnoteReference w:id="37"/>
      </w:r>
      <w:r w:rsidRPr="00520B8F">
        <w:rPr>
          <w:rFonts w:ascii="Times New Roman" w:hAnsi="Times New Roman" w:cs="Times New Roman"/>
          <w:shd w:val="clear" w:color="auto" w:fill="FFFFFF"/>
        </w:rPr>
        <w:t xml:space="preserve"> On the other hand, according to the established </w:t>
      </w:r>
      <w:r w:rsidR="00344D50" w:rsidRPr="00520B8F">
        <w:rPr>
          <w:rFonts w:ascii="Times New Roman" w:hAnsi="Times New Roman" w:cs="Times New Roman"/>
          <w:shd w:val="clear" w:color="auto" w:fill="FFFFFF"/>
        </w:rPr>
        <w:t>case-law</w:t>
      </w:r>
      <w:r w:rsidRPr="00520B8F">
        <w:rPr>
          <w:rFonts w:ascii="Times New Roman" w:hAnsi="Times New Roman" w:cs="Times New Roman"/>
          <w:shd w:val="clear" w:color="auto" w:fill="FFFFFF"/>
        </w:rPr>
        <w:t xml:space="preserve"> of the Constitutional Court, filing a lawsuit for compensation in criminal investigations related to medical negligence is a priority and effective </w:t>
      </w:r>
      <w:r w:rsidR="0D4F999A" w:rsidRPr="00520B8F">
        <w:rPr>
          <w:rFonts w:ascii="Times New Roman" w:hAnsi="Times New Roman" w:cs="Times New Roman"/>
          <w:shd w:val="clear" w:color="auto" w:fill="FFFFFF"/>
        </w:rPr>
        <w:t>remed</w:t>
      </w:r>
      <w:r w:rsidRPr="00520B8F">
        <w:rPr>
          <w:rFonts w:ascii="Times New Roman" w:hAnsi="Times New Roman" w:cs="Times New Roman"/>
          <w:shd w:val="clear" w:color="auto" w:fill="FFFFFF"/>
        </w:rPr>
        <w:t>y.</w:t>
      </w:r>
      <w:r w:rsidR="002C09B8" w:rsidRPr="00520B8F">
        <w:rPr>
          <w:rStyle w:val="DipnotBavurusu"/>
          <w:rFonts w:ascii="Times New Roman" w:hAnsi="Times New Roman" w:cs="Times New Roman"/>
          <w:shd w:val="clear" w:color="auto" w:fill="FFFFFF"/>
        </w:rPr>
        <w:footnoteReference w:id="38"/>
      </w:r>
      <w:r w:rsidRPr="00520B8F">
        <w:rPr>
          <w:rFonts w:ascii="Times New Roman" w:hAnsi="Times New Roman" w:cs="Times New Roman"/>
          <w:shd w:val="clear" w:color="auto" w:fill="FFFFFF"/>
        </w:rPr>
        <w:t xml:space="preserve"> It is clear that decisions in this direction limit the conduct of an effective criminal investigation.</w:t>
      </w:r>
    </w:p>
    <w:p w14:paraId="0F63F6DB" w14:textId="77777777" w:rsidR="00CD1CAD" w:rsidRPr="00520B8F" w:rsidRDefault="00CD1CAD" w:rsidP="009124AD">
      <w:pPr>
        <w:jc w:val="both"/>
        <w:rPr>
          <w:rFonts w:ascii="Times New Roman" w:hAnsi="Times New Roman" w:cs="Times New Roman"/>
          <w:shd w:val="clear" w:color="auto" w:fill="FFFFFF"/>
        </w:rPr>
      </w:pPr>
    </w:p>
    <w:p w14:paraId="2E22DA8B" w14:textId="41B6B625" w:rsidR="000D0D9A" w:rsidRPr="00520B8F" w:rsidRDefault="00EA29C5"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2.3.2</w:t>
      </w:r>
      <w:r w:rsidR="000D0D9A" w:rsidRPr="00520B8F">
        <w:rPr>
          <w:rFonts w:ascii="Times New Roman" w:hAnsi="Times New Roman" w:cs="Times New Roman"/>
          <w:b/>
          <w:shd w:val="clear" w:color="auto" w:fill="FFFFFF"/>
        </w:rPr>
        <w:t>. Imposition of disciplinary sanctions and their effectiveness</w:t>
      </w:r>
    </w:p>
    <w:p w14:paraId="0901FBEA" w14:textId="77777777" w:rsidR="00CD1CAD" w:rsidRPr="00520B8F" w:rsidRDefault="00CD1CAD" w:rsidP="009124AD">
      <w:pPr>
        <w:jc w:val="both"/>
        <w:rPr>
          <w:rFonts w:ascii="Times New Roman" w:hAnsi="Times New Roman" w:cs="Times New Roman"/>
          <w:shd w:val="clear" w:color="auto" w:fill="FFFFFF"/>
        </w:rPr>
      </w:pPr>
    </w:p>
    <w:p w14:paraId="4442FB1A" w14:textId="1EE4D1FC" w:rsidR="00D63831" w:rsidRPr="00520B8F" w:rsidRDefault="00520B8F" w:rsidP="009124AD">
      <w:pPr>
        <w:jc w:val="both"/>
        <w:rPr>
          <w:rFonts w:ascii="Times New Roman" w:hAnsi="Times New Roman" w:cs="Times New Roman"/>
        </w:rPr>
      </w:pPr>
      <w:r>
        <w:rPr>
          <w:rFonts w:ascii="Times New Roman" w:hAnsi="Times New Roman" w:cs="Times New Roman"/>
        </w:rPr>
        <w:t>25</w:t>
      </w:r>
      <w:r w:rsidR="000D0D9A" w:rsidRPr="00520B8F">
        <w:rPr>
          <w:rFonts w:ascii="Times New Roman" w:hAnsi="Times New Roman" w:cs="Times New Roman"/>
        </w:rPr>
        <w:t>. Paragraphs 1</w:t>
      </w:r>
      <w:r w:rsidR="00531303" w:rsidRPr="00520B8F">
        <w:rPr>
          <w:rFonts w:ascii="Times New Roman" w:hAnsi="Times New Roman" w:cs="Times New Roman"/>
        </w:rPr>
        <w:t>56 and 165</w:t>
      </w:r>
      <w:r w:rsidR="00F930F8" w:rsidRPr="00520B8F">
        <w:rPr>
          <w:rFonts w:ascii="Times New Roman" w:hAnsi="Times New Roman" w:cs="Times New Roman"/>
        </w:rPr>
        <w:t xml:space="preserve"> of the Government's o</w:t>
      </w:r>
      <w:r w:rsidR="000D0D9A" w:rsidRPr="00520B8F">
        <w:rPr>
          <w:rFonts w:ascii="Times New Roman" w:hAnsi="Times New Roman" w:cs="Times New Roman"/>
        </w:rPr>
        <w:t>pinion refer to the effectiveness of disciplinary measures in relation to allegations of medical negligence. Since there is no data shared with the public on this subject, an evaluation cannot be made. It should be kept in mind that the actions subject to disciplinary action, the number of personnel subject to disciplinary action, and the disciplinary penalty applied are not shared with the public.</w:t>
      </w:r>
      <w:r w:rsidR="00387358" w:rsidRPr="00520B8F">
        <w:t xml:space="preserve"> </w:t>
      </w:r>
      <w:r w:rsidR="00387358" w:rsidRPr="00520B8F">
        <w:rPr>
          <w:rFonts w:ascii="Times New Roman" w:hAnsi="Times New Roman" w:cs="Times New Roman"/>
        </w:rPr>
        <w:t>On the other hand, the number of personnel related to disciplinary affairs is insufficient.</w:t>
      </w:r>
      <w:r w:rsidR="00387358" w:rsidRPr="00520B8F">
        <w:rPr>
          <w:rStyle w:val="DipnotBavurusu"/>
          <w:rFonts w:ascii="Times New Roman" w:hAnsi="Times New Roman" w:cs="Times New Roman"/>
        </w:rPr>
        <w:footnoteReference w:id="39"/>
      </w:r>
    </w:p>
    <w:p w14:paraId="547ACBA0" w14:textId="77777777" w:rsidR="000D0D9A" w:rsidRPr="00520B8F" w:rsidRDefault="000D0D9A" w:rsidP="009124AD">
      <w:pPr>
        <w:jc w:val="both"/>
        <w:rPr>
          <w:rFonts w:ascii="Times New Roman" w:hAnsi="Times New Roman" w:cs="Times New Roman"/>
        </w:rPr>
      </w:pPr>
    </w:p>
    <w:p w14:paraId="53AC3B78" w14:textId="6EB4135F" w:rsidR="000D0D9A" w:rsidRPr="00520B8F" w:rsidRDefault="00EA29C5" w:rsidP="00756E86">
      <w:pPr>
        <w:ind w:left="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2.3.3</w:t>
      </w:r>
      <w:r w:rsidR="000D0D9A" w:rsidRPr="00520B8F">
        <w:rPr>
          <w:rFonts w:ascii="Times New Roman" w:hAnsi="Times New Roman" w:cs="Times New Roman"/>
          <w:b/>
          <w:shd w:val="clear" w:color="auto" w:fill="FFFFFF"/>
        </w:rPr>
        <w:t>. Failure of the consideration of events and evidence by domestic courts and</w:t>
      </w:r>
      <w:r w:rsidR="00756E86" w:rsidRPr="00520B8F">
        <w:rPr>
          <w:rFonts w:ascii="Times New Roman" w:hAnsi="Times New Roman" w:cs="Times New Roman"/>
          <w:b/>
          <w:shd w:val="clear" w:color="auto" w:fill="FFFFFF"/>
        </w:rPr>
        <w:t xml:space="preserve"> </w:t>
      </w:r>
      <w:r w:rsidR="000D0D9A" w:rsidRPr="00520B8F">
        <w:rPr>
          <w:rFonts w:ascii="Times New Roman" w:hAnsi="Times New Roman" w:cs="Times New Roman"/>
          <w:b/>
          <w:shd w:val="clear" w:color="auto" w:fill="FFFFFF"/>
        </w:rPr>
        <w:t>the issue of reasoning</w:t>
      </w:r>
    </w:p>
    <w:p w14:paraId="05E2A0E8" w14:textId="77777777" w:rsidR="000D0D9A" w:rsidRPr="00520B8F" w:rsidRDefault="000D0D9A" w:rsidP="009124AD">
      <w:pPr>
        <w:jc w:val="both"/>
        <w:rPr>
          <w:rFonts w:ascii="Times New Roman" w:hAnsi="Times New Roman" w:cs="Times New Roman"/>
        </w:rPr>
      </w:pPr>
    </w:p>
    <w:p w14:paraId="11725824" w14:textId="548BDF6D" w:rsidR="000D0D9A" w:rsidRPr="00520B8F" w:rsidRDefault="00520B8F" w:rsidP="009124AD">
      <w:pPr>
        <w:jc w:val="both"/>
        <w:rPr>
          <w:rFonts w:ascii="Times New Roman" w:hAnsi="Times New Roman" w:cs="Times New Roman"/>
        </w:rPr>
      </w:pPr>
      <w:r>
        <w:rPr>
          <w:rFonts w:ascii="Times New Roman" w:hAnsi="Times New Roman" w:cs="Times New Roman"/>
        </w:rPr>
        <w:t>26</w:t>
      </w:r>
      <w:r w:rsidR="002033E6" w:rsidRPr="00520B8F">
        <w:rPr>
          <w:rFonts w:ascii="Times New Roman" w:hAnsi="Times New Roman" w:cs="Times New Roman"/>
        </w:rPr>
        <w:t>. Paragraphs 166 to 184</w:t>
      </w:r>
      <w:r w:rsidR="000D0D9A" w:rsidRPr="00520B8F">
        <w:rPr>
          <w:rFonts w:ascii="Times New Roman" w:hAnsi="Times New Roman" w:cs="Times New Roman"/>
        </w:rPr>
        <w:t xml:space="preserve"> of the Gov</w:t>
      </w:r>
      <w:r w:rsidR="00F930F8" w:rsidRPr="00520B8F">
        <w:rPr>
          <w:rFonts w:ascii="Times New Roman" w:hAnsi="Times New Roman" w:cs="Times New Roman"/>
        </w:rPr>
        <w:t>ernment's o</w:t>
      </w:r>
      <w:r w:rsidR="000D0D9A" w:rsidRPr="00520B8F">
        <w:rPr>
          <w:rFonts w:ascii="Times New Roman" w:hAnsi="Times New Roman" w:cs="Times New Roman"/>
        </w:rPr>
        <w:t>pinion refer to the issues in cases involving allegations of medical negligence and more generally in the way courts evaluate facts and evidence and justify their decisions. Serious problems regarding this issue still continue. In many of its decisions, the Constitutional Court has ruled on violations arising from the lack of justification and errors in the evaluation of facts and evidence in cases arising from medical negligence.</w:t>
      </w:r>
      <w:r w:rsidR="000D0D9A" w:rsidRPr="00520B8F">
        <w:rPr>
          <w:rStyle w:val="DipnotBavurusu"/>
          <w:rFonts w:ascii="Times New Roman" w:hAnsi="Times New Roman" w:cs="Times New Roman"/>
        </w:rPr>
        <w:footnoteReference w:id="40"/>
      </w:r>
      <w:r w:rsidR="000D0D9A" w:rsidRPr="00520B8F">
        <w:rPr>
          <w:rFonts w:ascii="Times New Roman" w:hAnsi="Times New Roman" w:cs="Times New Roman"/>
        </w:rPr>
        <w:t xml:space="preserve"> However, the </w:t>
      </w:r>
      <w:r w:rsidR="00344D50" w:rsidRPr="00520B8F">
        <w:rPr>
          <w:rFonts w:ascii="Times New Roman" w:hAnsi="Times New Roman" w:cs="Times New Roman"/>
        </w:rPr>
        <w:t>case-law</w:t>
      </w:r>
      <w:r w:rsidR="000D0D9A" w:rsidRPr="00520B8F">
        <w:rPr>
          <w:rFonts w:ascii="Times New Roman" w:hAnsi="Times New Roman" w:cs="Times New Roman"/>
        </w:rPr>
        <w:t xml:space="preserve"> of the Constitutional Court also has problematic aspects </w:t>
      </w:r>
      <w:r w:rsidR="000D0D9A" w:rsidRPr="00520B8F">
        <w:rPr>
          <w:rFonts w:ascii="Times New Roman" w:hAnsi="Times New Roman" w:cs="Times New Roman"/>
        </w:rPr>
        <w:lastRenderedPageBreak/>
        <w:t>in this regard. In its various decisions, the Constitutional Court has decided that the allegations regarding the lack of justification and errors in the evaluation of facts and evidence in cases arising from medical negligence do not constitute a violation.</w:t>
      </w:r>
      <w:r w:rsidR="000D0D9A" w:rsidRPr="00520B8F">
        <w:rPr>
          <w:rStyle w:val="DipnotBavurusu"/>
          <w:rFonts w:ascii="Times New Roman" w:hAnsi="Times New Roman" w:cs="Times New Roman"/>
        </w:rPr>
        <w:footnoteReference w:id="41"/>
      </w:r>
      <w:r w:rsidR="000D0D9A" w:rsidRPr="00520B8F">
        <w:rPr>
          <w:rFonts w:ascii="Times New Roman" w:hAnsi="Times New Roman" w:cs="Times New Roman"/>
        </w:rPr>
        <w:t xml:space="preserve"> In court </w:t>
      </w:r>
      <w:r w:rsidR="000D0D9A" w:rsidRPr="00520B8F">
        <w:rPr>
          <w:rFonts w:ascii="Times New Roman" w:hAnsi="Times New Roman" w:cs="Times New Roman"/>
        </w:rPr>
        <w:lastRenderedPageBreak/>
        <w:t>decisions at all levels, there are justification deficiencies and errors related to the evaluation of facts and evidence.</w:t>
      </w:r>
    </w:p>
    <w:p w14:paraId="599911B4" w14:textId="77777777" w:rsidR="00F930F8" w:rsidRPr="00520B8F" w:rsidRDefault="00F930F8" w:rsidP="009124AD">
      <w:pPr>
        <w:jc w:val="both"/>
        <w:rPr>
          <w:rFonts w:ascii="Times New Roman" w:hAnsi="Times New Roman" w:cs="Times New Roman"/>
        </w:rPr>
      </w:pPr>
    </w:p>
    <w:p w14:paraId="6BC5C72A" w14:textId="77777777" w:rsidR="00F930F8" w:rsidRPr="00520B8F" w:rsidRDefault="00F930F8"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2.4. The case-law of the High Courts</w:t>
      </w:r>
    </w:p>
    <w:p w14:paraId="1D767E8F" w14:textId="77777777" w:rsidR="00F930F8" w:rsidRPr="00520B8F" w:rsidRDefault="00F930F8"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2.4.1. The Constitutional Court</w:t>
      </w:r>
    </w:p>
    <w:p w14:paraId="6049015A" w14:textId="77777777" w:rsidR="00F930F8" w:rsidRPr="00520B8F" w:rsidRDefault="00F930F8" w:rsidP="009124AD">
      <w:pPr>
        <w:jc w:val="both"/>
        <w:rPr>
          <w:rFonts w:ascii="Times New Roman" w:hAnsi="Times New Roman" w:cs="Times New Roman"/>
        </w:rPr>
      </w:pPr>
    </w:p>
    <w:p w14:paraId="65E207CB" w14:textId="3D222CE8" w:rsidR="00F930F8" w:rsidRPr="00520B8F" w:rsidRDefault="00520B8F" w:rsidP="009124AD">
      <w:pPr>
        <w:jc w:val="both"/>
        <w:rPr>
          <w:rFonts w:ascii="Times New Roman" w:hAnsi="Times New Roman" w:cs="Times New Roman"/>
        </w:rPr>
      </w:pPr>
      <w:r>
        <w:rPr>
          <w:rFonts w:ascii="Times New Roman" w:hAnsi="Times New Roman" w:cs="Times New Roman"/>
        </w:rPr>
        <w:t>27</w:t>
      </w:r>
      <w:r w:rsidR="002033E6" w:rsidRPr="00520B8F">
        <w:rPr>
          <w:rFonts w:ascii="Times New Roman" w:hAnsi="Times New Roman" w:cs="Times New Roman"/>
        </w:rPr>
        <w:t>. Paragraphs 185</w:t>
      </w:r>
      <w:r w:rsidR="00F930F8" w:rsidRPr="00520B8F">
        <w:rPr>
          <w:rFonts w:ascii="Times New Roman" w:hAnsi="Times New Roman" w:cs="Times New Roman"/>
        </w:rPr>
        <w:t xml:space="preserve"> to 19</w:t>
      </w:r>
      <w:r w:rsidR="00E62677" w:rsidRPr="00520B8F">
        <w:rPr>
          <w:rFonts w:ascii="Times New Roman" w:hAnsi="Times New Roman" w:cs="Times New Roman"/>
        </w:rPr>
        <w:t>5</w:t>
      </w:r>
      <w:r w:rsidR="00F930F8" w:rsidRPr="00520B8F">
        <w:rPr>
          <w:rFonts w:ascii="Times New Roman" w:hAnsi="Times New Roman" w:cs="Times New Roman"/>
        </w:rPr>
        <w:t xml:space="preserve"> of the Government's opinion include information about the individual applications to the Constitutional Court and the applications related to the claims of medical negligence. As considerations have been made in paragraphs 19, 21, 24, 25 and 27 above regarding the </w:t>
      </w:r>
      <w:r w:rsidR="00344D50" w:rsidRPr="00520B8F">
        <w:rPr>
          <w:rFonts w:ascii="Times New Roman" w:hAnsi="Times New Roman" w:cs="Times New Roman"/>
        </w:rPr>
        <w:t xml:space="preserve">case-law </w:t>
      </w:r>
      <w:r w:rsidR="00F930F8" w:rsidRPr="00520B8F">
        <w:rPr>
          <w:rFonts w:ascii="Times New Roman" w:hAnsi="Times New Roman" w:cs="Times New Roman"/>
        </w:rPr>
        <w:t xml:space="preserve">of </w:t>
      </w:r>
      <w:r w:rsidR="003F474B" w:rsidRPr="00520B8F">
        <w:rPr>
          <w:rFonts w:ascii="Times New Roman" w:hAnsi="Times New Roman" w:cs="Times New Roman"/>
        </w:rPr>
        <w:t xml:space="preserve">the Constitutional Court, </w:t>
      </w:r>
      <w:proofErr w:type="gramStart"/>
      <w:r w:rsidR="003F474B" w:rsidRPr="00520B8F">
        <w:rPr>
          <w:rFonts w:ascii="Times New Roman" w:hAnsi="Times New Roman" w:cs="Times New Roman"/>
        </w:rPr>
        <w:t xml:space="preserve">these </w:t>
      </w:r>
      <w:r w:rsidR="00344D50" w:rsidRPr="00520B8F">
        <w:rPr>
          <w:rFonts w:ascii="Times New Roman" w:hAnsi="Times New Roman" w:cs="Times New Roman"/>
        </w:rPr>
        <w:t>case-law</w:t>
      </w:r>
      <w:proofErr w:type="gramEnd"/>
      <w:r w:rsidR="00F930F8" w:rsidRPr="00520B8F">
        <w:rPr>
          <w:rFonts w:ascii="Times New Roman" w:hAnsi="Times New Roman" w:cs="Times New Roman"/>
        </w:rPr>
        <w:t xml:space="preserve"> will not be re-presented. It will be useful to take those explanations into consideration when evaluating the applications made to the Constitutional Court within the scope of the individual application method. It can be said that the </w:t>
      </w:r>
      <w:r w:rsidR="00344D50" w:rsidRPr="00520B8F">
        <w:rPr>
          <w:rFonts w:ascii="Times New Roman" w:hAnsi="Times New Roman" w:cs="Times New Roman"/>
        </w:rPr>
        <w:t>case law</w:t>
      </w:r>
      <w:r w:rsidR="00F930F8" w:rsidRPr="00520B8F">
        <w:rPr>
          <w:rFonts w:ascii="Times New Roman" w:hAnsi="Times New Roman" w:cs="Times New Roman"/>
        </w:rPr>
        <w:t xml:space="preserve"> of the Constitutional Court is not consistent and does not fully meet the standards of the European Court of Human Rights. On the other hand, there is a crisis in the country regarding the implementation of the decisions of the Constitutional Court. Even the President of the Constitutional Court pointed out the serious problems related to this issue in a speech he made on October 23</w:t>
      </w:r>
      <w:r w:rsidR="00F930F8" w:rsidRPr="00520B8F">
        <w:rPr>
          <w:rFonts w:ascii="Times New Roman" w:hAnsi="Times New Roman" w:cs="Times New Roman"/>
          <w:vertAlign w:val="superscript"/>
        </w:rPr>
        <w:t>rd</w:t>
      </w:r>
      <w:r w:rsidR="00F930F8" w:rsidRPr="00520B8F">
        <w:rPr>
          <w:rFonts w:ascii="Times New Roman" w:hAnsi="Times New Roman" w:cs="Times New Roman"/>
        </w:rPr>
        <w:t>, 2021.</w:t>
      </w:r>
      <w:r w:rsidR="00F930F8" w:rsidRPr="00520B8F">
        <w:rPr>
          <w:rStyle w:val="DipnotBavurusu"/>
          <w:rFonts w:ascii="Times New Roman" w:hAnsi="Times New Roman" w:cs="Times New Roman"/>
        </w:rPr>
        <w:footnoteReference w:id="42"/>
      </w:r>
      <w:r w:rsidR="00F930F8" w:rsidRPr="00520B8F">
        <w:rPr>
          <w:rFonts w:ascii="Times New Roman" w:hAnsi="Times New Roman" w:cs="Times New Roman"/>
        </w:rPr>
        <w:t xml:space="preserve"> In this context, there are decisions regarding non-fulfillment of the decisions of the Constitutional Court and re-infringement decisions made by the Constitutional Court.</w:t>
      </w:r>
      <w:r w:rsidR="00F930F8" w:rsidRPr="00520B8F">
        <w:rPr>
          <w:rStyle w:val="DipnotBavurusu"/>
          <w:rFonts w:ascii="Times New Roman" w:hAnsi="Times New Roman" w:cs="Times New Roman"/>
        </w:rPr>
        <w:footnoteReference w:id="43"/>
      </w:r>
    </w:p>
    <w:p w14:paraId="1D84B5AB" w14:textId="77777777" w:rsidR="00F930F8" w:rsidRPr="00520B8F" w:rsidRDefault="00F930F8" w:rsidP="009124AD">
      <w:pPr>
        <w:jc w:val="both"/>
        <w:rPr>
          <w:rFonts w:ascii="Times New Roman" w:hAnsi="Times New Roman" w:cs="Times New Roman"/>
        </w:rPr>
      </w:pPr>
    </w:p>
    <w:p w14:paraId="59E486E0" w14:textId="77777777" w:rsidR="00F930F8" w:rsidRPr="00520B8F" w:rsidRDefault="00F930F8"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2.4.2. The Council of State</w:t>
      </w:r>
    </w:p>
    <w:p w14:paraId="073A1281" w14:textId="77777777" w:rsidR="00F930F8" w:rsidRPr="00520B8F" w:rsidRDefault="00F930F8" w:rsidP="009124AD">
      <w:pPr>
        <w:jc w:val="both"/>
        <w:rPr>
          <w:rFonts w:ascii="Times New Roman" w:hAnsi="Times New Roman" w:cs="Times New Roman"/>
        </w:rPr>
      </w:pPr>
    </w:p>
    <w:p w14:paraId="2F171911" w14:textId="1BC203A4" w:rsidR="00F930F8" w:rsidRPr="00520B8F" w:rsidRDefault="00520B8F" w:rsidP="009124AD">
      <w:pPr>
        <w:jc w:val="both"/>
        <w:rPr>
          <w:rFonts w:ascii="Times New Roman" w:hAnsi="Times New Roman" w:cs="Times New Roman"/>
        </w:rPr>
      </w:pPr>
      <w:r>
        <w:rPr>
          <w:rFonts w:ascii="Times New Roman" w:hAnsi="Times New Roman" w:cs="Times New Roman"/>
        </w:rPr>
        <w:t>28</w:t>
      </w:r>
      <w:r w:rsidR="00F930F8" w:rsidRPr="00520B8F">
        <w:rPr>
          <w:rFonts w:ascii="Times New Roman" w:hAnsi="Times New Roman" w:cs="Times New Roman"/>
        </w:rPr>
        <w:t xml:space="preserve">. </w:t>
      </w:r>
      <w:r w:rsidR="00E62677" w:rsidRPr="00520B8F">
        <w:rPr>
          <w:rFonts w:ascii="Times New Roman" w:hAnsi="Times New Roman" w:cs="Times New Roman"/>
        </w:rPr>
        <w:t>Paragraphs 196</w:t>
      </w:r>
      <w:r w:rsidR="00134BAB" w:rsidRPr="00520B8F">
        <w:rPr>
          <w:rFonts w:ascii="Times New Roman" w:hAnsi="Times New Roman" w:cs="Times New Roman"/>
        </w:rPr>
        <w:t xml:space="preserve"> to 20</w:t>
      </w:r>
      <w:r w:rsidR="00E62677" w:rsidRPr="00520B8F">
        <w:rPr>
          <w:rFonts w:ascii="Times New Roman" w:hAnsi="Times New Roman" w:cs="Times New Roman"/>
        </w:rPr>
        <w:t>0</w:t>
      </w:r>
      <w:r w:rsidR="00134BAB" w:rsidRPr="00520B8F">
        <w:rPr>
          <w:rFonts w:ascii="Times New Roman" w:hAnsi="Times New Roman" w:cs="Times New Roman"/>
        </w:rPr>
        <w:t xml:space="preserve"> of the Government's opinion include information about the case-law and institutional activities of the Council of State regarding the allegations of medical negligence. First of all, it should be noted that almost all the violation decisions of the Constitutional Court arising from the claims of medical negligence included in this opinion stem from the decisions of the Council of State. It can be said that the case-law of the Council of State is not consistent and does not fully meet the standards of the European Court of Human Rights. On the other hand, it is seen that the decisions of the Council of State regarding the claims of medical negligence are basically based on defectiveness</w:t>
      </w:r>
      <w:r w:rsidR="00134BAB" w:rsidRPr="00520B8F">
        <w:rPr>
          <w:rStyle w:val="DipnotBavurusu"/>
          <w:rFonts w:ascii="Times New Roman" w:hAnsi="Times New Roman" w:cs="Times New Roman"/>
        </w:rPr>
        <w:footnoteReference w:id="44"/>
      </w:r>
      <w:r w:rsidR="00134BAB" w:rsidRPr="00520B8F">
        <w:rPr>
          <w:rFonts w:ascii="Times New Roman" w:hAnsi="Times New Roman" w:cs="Times New Roman"/>
        </w:rPr>
        <w:t>, the complications that emerge in the medical intervention and treatment processes are not handled within this framework, and the responsibility of the state is not determined according to the principle of strict liability. It should be considered that the principle of strict liability can be applied in terms of socializing the financial losses suffered by people who have experienced severe complications.</w:t>
      </w:r>
    </w:p>
    <w:p w14:paraId="3C204944" w14:textId="77777777" w:rsidR="00134BAB" w:rsidRPr="00520B8F" w:rsidRDefault="00134BAB" w:rsidP="009124AD">
      <w:pPr>
        <w:jc w:val="both"/>
        <w:rPr>
          <w:rFonts w:ascii="Times New Roman" w:hAnsi="Times New Roman" w:cs="Times New Roman"/>
        </w:rPr>
      </w:pPr>
    </w:p>
    <w:p w14:paraId="5CA5A26C" w14:textId="77777777" w:rsidR="00134BAB" w:rsidRPr="00520B8F" w:rsidRDefault="00134BAB" w:rsidP="009124AD">
      <w:pPr>
        <w:ind w:firstLine="720"/>
        <w:jc w:val="both"/>
        <w:outlineLvl w:val="0"/>
        <w:rPr>
          <w:rFonts w:ascii="Times New Roman" w:hAnsi="Times New Roman" w:cs="Times New Roman"/>
          <w:b/>
          <w:shd w:val="clear" w:color="auto" w:fill="FFFFFF"/>
        </w:rPr>
      </w:pPr>
      <w:r w:rsidRPr="00520B8F">
        <w:rPr>
          <w:rFonts w:ascii="Times New Roman" w:hAnsi="Times New Roman" w:cs="Times New Roman"/>
          <w:b/>
          <w:shd w:val="clear" w:color="auto" w:fill="FFFFFF"/>
        </w:rPr>
        <w:t>2.4.3. The Court of Cassation</w:t>
      </w:r>
    </w:p>
    <w:p w14:paraId="3DA777A4" w14:textId="77777777" w:rsidR="00134BAB" w:rsidRPr="00520B8F" w:rsidRDefault="00134BAB" w:rsidP="009124AD">
      <w:pPr>
        <w:jc w:val="both"/>
        <w:rPr>
          <w:rFonts w:ascii="Times New Roman" w:hAnsi="Times New Roman" w:cs="Times New Roman"/>
        </w:rPr>
      </w:pPr>
    </w:p>
    <w:p w14:paraId="5954ECE3" w14:textId="76A87617" w:rsidR="00134BAB" w:rsidRPr="00520B8F" w:rsidRDefault="00520B8F" w:rsidP="009124AD">
      <w:pPr>
        <w:jc w:val="both"/>
        <w:rPr>
          <w:rFonts w:ascii="Times New Roman" w:hAnsi="Times New Roman" w:cs="Times New Roman"/>
        </w:rPr>
      </w:pPr>
      <w:r>
        <w:rPr>
          <w:rFonts w:ascii="Times New Roman" w:hAnsi="Times New Roman" w:cs="Times New Roman"/>
        </w:rPr>
        <w:t>29</w:t>
      </w:r>
      <w:r w:rsidR="00D47104" w:rsidRPr="00520B8F">
        <w:rPr>
          <w:rFonts w:ascii="Times New Roman" w:hAnsi="Times New Roman" w:cs="Times New Roman"/>
        </w:rPr>
        <w:t>. Paragraphs 201 to 206</w:t>
      </w:r>
      <w:r w:rsidR="00134BAB" w:rsidRPr="00520B8F">
        <w:rPr>
          <w:rFonts w:ascii="Times New Roman" w:hAnsi="Times New Roman" w:cs="Times New Roman"/>
        </w:rPr>
        <w:t xml:space="preserve"> of the Government's opinion include information about the </w:t>
      </w:r>
      <w:r w:rsidR="00344D50" w:rsidRPr="00520B8F">
        <w:rPr>
          <w:rFonts w:ascii="Times New Roman" w:hAnsi="Times New Roman" w:cs="Times New Roman"/>
        </w:rPr>
        <w:t>case-law</w:t>
      </w:r>
      <w:r w:rsidR="00134BAB" w:rsidRPr="00520B8F">
        <w:rPr>
          <w:rFonts w:ascii="Times New Roman" w:hAnsi="Times New Roman" w:cs="Times New Roman"/>
        </w:rPr>
        <w:t xml:space="preserve"> and institutional activities of the Court of Cassation regarding claims of medical negligence. No information was given about the outcome of the judicial process in the decision mentioned in paragraph 205 of the Government's opinion. It is understood that the date of crime in the case, which was the subject of the reversal decision, is before 2013. The date in the first judgment in paragraph 206 is 2008 and the date in the second judgment is 2013. The proceedings have been going on for more than 8 and 13 years, and it is highly probable that the case is dormant. There are many files in a similar situation.</w:t>
      </w:r>
      <w:r w:rsidR="00134BAB" w:rsidRPr="00520B8F">
        <w:rPr>
          <w:rStyle w:val="DipnotBavurusu"/>
          <w:rFonts w:ascii="Times New Roman" w:hAnsi="Times New Roman" w:cs="Times New Roman"/>
        </w:rPr>
        <w:footnoteReference w:id="45"/>
      </w:r>
      <w:r w:rsidR="00134BAB" w:rsidRPr="00520B8F">
        <w:rPr>
          <w:rFonts w:ascii="Times New Roman" w:hAnsi="Times New Roman" w:cs="Times New Roman"/>
        </w:rPr>
        <w:t xml:space="preserve"> Prolonged trials not only reduce the effectiveness of criminal proceedings, but also lead to violations of </w:t>
      </w:r>
      <w:r w:rsidR="00134BAB" w:rsidRPr="00520B8F">
        <w:rPr>
          <w:rFonts w:ascii="Times New Roman" w:hAnsi="Times New Roman" w:cs="Times New Roman"/>
        </w:rPr>
        <w:lastRenderedPageBreak/>
        <w:t>the right to a fair trial for the defendants. On the other hand, criminal liability is even more limited for doctors who are not public officials. These people cannot be prosecuted for malpractice or extortion</w:t>
      </w:r>
      <w:r w:rsidR="00A721E1" w:rsidRPr="00520B8F">
        <w:rPr>
          <w:rFonts w:ascii="Times New Roman" w:hAnsi="Times New Roman" w:cs="Times New Roman"/>
        </w:rPr>
        <w:t>.</w:t>
      </w:r>
      <w:r w:rsidR="00134BAB" w:rsidRPr="00520B8F">
        <w:rPr>
          <w:rStyle w:val="DipnotBavurusu"/>
          <w:rFonts w:ascii="Times New Roman" w:hAnsi="Times New Roman" w:cs="Times New Roman"/>
        </w:rPr>
        <w:footnoteReference w:id="46"/>
      </w:r>
      <w:r w:rsidR="00D56F70" w:rsidRPr="00520B8F">
        <w:rPr>
          <w:rFonts w:ascii="Times New Roman" w:hAnsi="Times New Roman" w:cs="Times New Roman"/>
        </w:rPr>
        <w:t xml:space="preserve"> It can be said that criminal proceedings are not effective and therefore do not fully meet the standards of the European Court of Human Rights. As the judgments of the Court of Cassation on civil cases have been evaluated in paragraphs 22 and 23 above, these </w:t>
      </w:r>
      <w:r w:rsidR="00344D50" w:rsidRPr="00520B8F">
        <w:rPr>
          <w:rFonts w:ascii="Times New Roman" w:hAnsi="Times New Roman" w:cs="Times New Roman"/>
        </w:rPr>
        <w:t>case-law</w:t>
      </w:r>
      <w:r w:rsidR="00756E86" w:rsidRPr="00520B8F">
        <w:rPr>
          <w:rFonts w:ascii="Times New Roman" w:hAnsi="Times New Roman" w:cs="Times New Roman"/>
        </w:rPr>
        <w:t>s</w:t>
      </w:r>
      <w:r w:rsidR="00D56F70" w:rsidRPr="00520B8F">
        <w:rPr>
          <w:rFonts w:ascii="Times New Roman" w:hAnsi="Times New Roman" w:cs="Times New Roman"/>
        </w:rPr>
        <w:t xml:space="preserve"> will not be re-presented here. It can be said that the approach of the Court of Cassation to civil lawsuits regarding claims of medical negligence is also not effective and in this respect, it does not fully meet the standards of the European Court of Human Rights.</w:t>
      </w:r>
    </w:p>
    <w:p w14:paraId="6C1F2A33" w14:textId="77777777" w:rsidR="00D56F70" w:rsidRPr="00520B8F" w:rsidRDefault="00D56F70" w:rsidP="009124AD">
      <w:pPr>
        <w:jc w:val="both"/>
        <w:rPr>
          <w:rFonts w:ascii="Times New Roman" w:hAnsi="Times New Roman" w:cs="Times New Roman"/>
        </w:rPr>
      </w:pPr>
    </w:p>
    <w:p w14:paraId="790F1944" w14:textId="77777777" w:rsidR="00D56F70" w:rsidRPr="00520B8F" w:rsidRDefault="00D56F70" w:rsidP="009124AD">
      <w:pPr>
        <w:jc w:val="both"/>
        <w:rPr>
          <w:rFonts w:ascii="Times New Roman" w:hAnsi="Times New Roman" w:cs="Times New Roman"/>
          <w:shd w:val="clear" w:color="auto" w:fill="FFFFFF"/>
        </w:rPr>
      </w:pPr>
    </w:p>
    <w:p w14:paraId="3AB2E222" w14:textId="16E0C7A8" w:rsidR="00D56F70" w:rsidRPr="00520B8F" w:rsidRDefault="00D56F70" w:rsidP="533F4A94">
      <w:pPr>
        <w:ind w:firstLine="720"/>
        <w:jc w:val="both"/>
        <w:rPr>
          <w:rFonts w:ascii="Times New Roman" w:hAnsi="Times New Roman" w:cs="Times New Roman"/>
          <w:b/>
          <w:bCs/>
        </w:rPr>
      </w:pPr>
      <w:r w:rsidRPr="00520B8F">
        <w:rPr>
          <w:rFonts w:ascii="Times New Roman" w:hAnsi="Times New Roman" w:cs="Times New Roman"/>
          <w:b/>
          <w:bCs/>
        </w:rPr>
        <w:t xml:space="preserve">3. </w:t>
      </w:r>
      <w:r w:rsidR="3B21F08D" w:rsidRPr="00520B8F">
        <w:rPr>
          <w:rFonts w:ascii="Times New Roman" w:hAnsi="Times New Roman" w:cs="Times New Roman"/>
          <w:b/>
          <w:bCs/>
        </w:rPr>
        <w:t>Conclusions</w:t>
      </w:r>
      <w:r w:rsidRPr="00520B8F">
        <w:rPr>
          <w:rFonts w:ascii="Times New Roman" w:hAnsi="Times New Roman" w:cs="Times New Roman"/>
          <w:b/>
          <w:bCs/>
        </w:rPr>
        <w:t xml:space="preserve"> and Recommendations</w:t>
      </w:r>
    </w:p>
    <w:p w14:paraId="1CB2E0BA" w14:textId="77777777" w:rsidR="003F781C" w:rsidRPr="00520B8F" w:rsidRDefault="003F781C" w:rsidP="009124AD">
      <w:pPr>
        <w:jc w:val="both"/>
        <w:rPr>
          <w:rFonts w:ascii="Times New Roman" w:hAnsi="Times New Roman" w:cs="Times New Roman"/>
        </w:rPr>
      </w:pPr>
    </w:p>
    <w:p w14:paraId="18D9CC6C" w14:textId="6E5774D1" w:rsidR="00D56F70" w:rsidRPr="00520B8F" w:rsidRDefault="00520B8F" w:rsidP="533F4A94">
      <w:pPr>
        <w:jc w:val="both"/>
        <w:rPr>
          <w:rFonts w:ascii="Times New Roman" w:hAnsi="Times New Roman" w:cs="Times New Roman"/>
        </w:rPr>
      </w:pPr>
      <w:r>
        <w:rPr>
          <w:rFonts w:ascii="Times New Roman" w:hAnsi="Times New Roman" w:cs="Times New Roman"/>
        </w:rPr>
        <w:t>30</w:t>
      </w:r>
      <w:r w:rsidR="00D56F70" w:rsidRPr="00520B8F">
        <w:rPr>
          <w:rFonts w:ascii="Times New Roman" w:hAnsi="Times New Roman" w:cs="Times New Roman"/>
        </w:rPr>
        <w:t>.</w:t>
      </w:r>
      <w:r w:rsidR="1A746326" w:rsidRPr="00520B8F">
        <w:rPr>
          <w:rFonts w:ascii="Times New Roman" w:hAnsi="Times New Roman" w:cs="Times New Roman"/>
        </w:rPr>
        <w:t xml:space="preserve"> </w:t>
      </w:r>
      <w:r w:rsidR="00B947C8" w:rsidRPr="00520B8F">
        <w:rPr>
          <w:rFonts w:ascii="Times New Roman" w:hAnsi="Times New Roman" w:cs="Times New Roman"/>
        </w:rPr>
        <w:t xml:space="preserve">There are serious problems with health services. </w:t>
      </w:r>
      <w:r w:rsidR="302637B0" w:rsidRPr="00520B8F">
        <w:rPr>
          <w:rFonts w:ascii="Times New Roman" w:hAnsi="Times New Roman" w:cs="Times New Roman"/>
        </w:rPr>
        <w:t xml:space="preserve">In the light of the problems described above, the </w:t>
      </w:r>
      <w:r w:rsidR="302637B0" w:rsidRPr="00520B8F">
        <w:rPr>
          <w:rFonts w:ascii="Times New Roman" w:eastAsia="Times New Roman" w:hAnsi="Times New Roman" w:cs="Times New Roman"/>
        </w:rPr>
        <w:t>Life Memory Freedom Association kindly asks the Committee of Ministers to request the Turkish authorities to take the following measures:</w:t>
      </w:r>
    </w:p>
    <w:p w14:paraId="4C814EB6" w14:textId="54F99109" w:rsidR="00D56F70" w:rsidRPr="00520B8F" w:rsidRDefault="00D56F70" w:rsidP="533F4A94">
      <w:pPr>
        <w:jc w:val="both"/>
        <w:rPr>
          <w:rFonts w:ascii="Times New Roman" w:eastAsia="Times New Roman" w:hAnsi="Times New Roman" w:cs="Times New Roman"/>
        </w:rPr>
      </w:pPr>
    </w:p>
    <w:p w14:paraId="35467053" w14:textId="5F99F171" w:rsidR="00D56F70" w:rsidRPr="00520B8F" w:rsidRDefault="00B947C8" w:rsidP="00EA29C5">
      <w:pPr>
        <w:pStyle w:val="ListeParagraf"/>
        <w:numPr>
          <w:ilvl w:val="0"/>
          <w:numId w:val="4"/>
        </w:numPr>
        <w:jc w:val="both"/>
        <w:rPr>
          <w:rFonts w:eastAsiaTheme="minorEastAsia"/>
        </w:rPr>
      </w:pPr>
      <w:r w:rsidRPr="00520B8F">
        <w:rPr>
          <w:rFonts w:ascii="Times New Roman" w:hAnsi="Times New Roman" w:cs="Times New Roman"/>
        </w:rPr>
        <w:t xml:space="preserve">The improvements in the scope and capacity of medical services should continue. </w:t>
      </w:r>
    </w:p>
    <w:p w14:paraId="26AB058A" w14:textId="77777777" w:rsidR="00303AE0" w:rsidRPr="00520B8F" w:rsidRDefault="00B947C8" w:rsidP="00BC340C">
      <w:pPr>
        <w:pStyle w:val="ListeParagraf"/>
        <w:numPr>
          <w:ilvl w:val="0"/>
          <w:numId w:val="4"/>
        </w:numPr>
        <w:jc w:val="both"/>
      </w:pPr>
      <w:r w:rsidRPr="00520B8F">
        <w:rPr>
          <w:rFonts w:ascii="Times New Roman" w:hAnsi="Times New Roman" w:cs="Times New Roman"/>
        </w:rPr>
        <w:t xml:space="preserve">Data on access to health services, including geographic distribution, should be </w:t>
      </w:r>
      <w:r w:rsidR="4E8C5824" w:rsidRPr="00520B8F">
        <w:rPr>
          <w:rFonts w:ascii="Times New Roman" w:hAnsi="Times New Roman" w:cs="Times New Roman"/>
        </w:rPr>
        <w:t xml:space="preserve">collected by authorities and </w:t>
      </w:r>
      <w:r w:rsidRPr="00520B8F">
        <w:rPr>
          <w:rFonts w:ascii="Times New Roman" w:hAnsi="Times New Roman" w:cs="Times New Roman"/>
        </w:rPr>
        <w:t>shared.</w:t>
      </w:r>
    </w:p>
    <w:p w14:paraId="35C31A5E" w14:textId="7A588599" w:rsidR="00D56F70" w:rsidRPr="00520B8F" w:rsidRDefault="00303AE0" w:rsidP="00BC340C">
      <w:pPr>
        <w:pStyle w:val="ListeParagraf"/>
        <w:numPr>
          <w:ilvl w:val="0"/>
          <w:numId w:val="4"/>
        </w:numPr>
        <w:jc w:val="both"/>
      </w:pPr>
      <w:r w:rsidRPr="00520B8F">
        <w:rPr>
          <w:rFonts w:ascii="Times New Roman" w:hAnsi="Times New Roman" w:cs="Times New Roman"/>
        </w:rPr>
        <w:t>Statistical data on the geographical distribution of equipment and personnel should be shared.</w:t>
      </w:r>
      <w:r w:rsidR="00B947C8" w:rsidRPr="00520B8F">
        <w:rPr>
          <w:rFonts w:ascii="Times New Roman" w:hAnsi="Times New Roman" w:cs="Times New Roman"/>
        </w:rPr>
        <w:t xml:space="preserve"> </w:t>
      </w:r>
    </w:p>
    <w:p w14:paraId="7C01C5A6" w14:textId="1E3763DC" w:rsidR="00D56F70" w:rsidRPr="00520B8F" w:rsidRDefault="00B947C8" w:rsidP="00BC340C">
      <w:pPr>
        <w:pStyle w:val="ListeParagraf"/>
        <w:numPr>
          <w:ilvl w:val="0"/>
          <w:numId w:val="4"/>
        </w:numPr>
        <w:jc w:val="both"/>
      </w:pPr>
      <w:r w:rsidRPr="00520B8F">
        <w:rPr>
          <w:rFonts w:ascii="Times New Roman" w:hAnsi="Times New Roman" w:cs="Times New Roman"/>
        </w:rPr>
        <w:t xml:space="preserve">Access to health services should also be secured in underdeveloped regions of the country. </w:t>
      </w:r>
    </w:p>
    <w:p w14:paraId="51B95BA5" w14:textId="72A2D1F1" w:rsidR="00D56F70" w:rsidRPr="00520B8F" w:rsidRDefault="00B947C8" w:rsidP="00BC340C">
      <w:pPr>
        <w:pStyle w:val="ListeParagraf"/>
        <w:numPr>
          <w:ilvl w:val="0"/>
          <w:numId w:val="4"/>
        </w:numPr>
        <w:jc w:val="both"/>
      </w:pPr>
      <w:r w:rsidRPr="00520B8F">
        <w:rPr>
          <w:rFonts w:ascii="Times New Roman" w:hAnsi="Times New Roman" w:cs="Times New Roman"/>
        </w:rPr>
        <w:t>Problems related to the access of discriminated groups to health services should be resolved.</w:t>
      </w:r>
    </w:p>
    <w:p w14:paraId="7CEED003" w14:textId="7B10DA4F" w:rsidR="00D56F70" w:rsidRPr="00520B8F" w:rsidRDefault="00B947C8" w:rsidP="00BC340C">
      <w:pPr>
        <w:pStyle w:val="ListeParagraf"/>
        <w:numPr>
          <w:ilvl w:val="0"/>
          <w:numId w:val="4"/>
        </w:numPr>
        <w:jc w:val="both"/>
      </w:pPr>
      <w:r w:rsidRPr="00520B8F">
        <w:rPr>
          <w:rFonts w:ascii="Times New Roman" w:hAnsi="Times New Roman" w:cs="Times New Roman"/>
        </w:rPr>
        <w:t xml:space="preserve">Maternal and neonatal health services should be improved. </w:t>
      </w:r>
    </w:p>
    <w:p w14:paraId="5E859615" w14:textId="4AA5A77D" w:rsidR="00D56F70" w:rsidRPr="00520B8F" w:rsidRDefault="00B947C8" w:rsidP="00BC340C">
      <w:pPr>
        <w:pStyle w:val="ListeParagraf"/>
        <w:numPr>
          <w:ilvl w:val="0"/>
          <w:numId w:val="4"/>
        </w:numPr>
        <w:jc w:val="both"/>
        <w:rPr>
          <w:rFonts w:eastAsiaTheme="minorEastAsia"/>
        </w:rPr>
      </w:pPr>
      <w:r w:rsidRPr="00520B8F">
        <w:rPr>
          <w:rFonts w:ascii="Times New Roman" w:hAnsi="Times New Roman" w:cs="Times New Roman"/>
        </w:rPr>
        <w:t xml:space="preserve">Emergency health services should be developed. </w:t>
      </w:r>
    </w:p>
    <w:p w14:paraId="6327F88A" w14:textId="77777777" w:rsidR="00756E86" w:rsidRPr="00520B8F" w:rsidRDefault="00B947C8" w:rsidP="00756E86">
      <w:pPr>
        <w:pStyle w:val="ListeParagraf"/>
        <w:numPr>
          <w:ilvl w:val="0"/>
          <w:numId w:val="4"/>
        </w:numPr>
        <w:jc w:val="both"/>
      </w:pPr>
      <w:r w:rsidRPr="00520B8F">
        <w:rPr>
          <w:rFonts w:ascii="Times New Roman" w:hAnsi="Times New Roman" w:cs="Times New Roman"/>
        </w:rPr>
        <w:t xml:space="preserve">Patient transport procedures and coordination should be improved. </w:t>
      </w:r>
    </w:p>
    <w:p w14:paraId="3FF20E21" w14:textId="0F76C36B" w:rsidR="00D56F70" w:rsidRPr="00520B8F" w:rsidRDefault="7CB5C420" w:rsidP="00756E86">
      <w:pPr>
        <w:pStyle w:val="ListeParagraf"/>
        <w:numPr>
          <w:ilvl w:val="0"/>
          <w:numId w:val="4"/>
        </w:numPr>
        <w:jc w:val="both"/>
      </w:pPr>
      <w:r w:rsidRPr="00520B8F">
        <w:rPr>
          <w:rFonts w:ascii="Times New Roman" w:hAnsi="Times New Roman" w:cs="Times New Roman"/>
        </w:rPr>
        <w:t xml:space="preserve">Measures should be taken to end </w:t>
      </w:r>
      <w:r w:rsidR="66AABAD0" w:rsidRPr="00520B8F">
        <w:rPr>
          <w:rFonts w:ascii="Times New Roman" w:hAnsi="Times New Roman" w:cs="Times New Roman"/>
        </w:rPr>
        <w:t>prevent</w:t>
      </w:r>
      <w:r w:rsidR="028A283E" w:rsidRPr="00520B8F">
        <w:rPr>
          <w:rFonts w:ascii="Times New Roman" w:hAnsi="Times New Roman" w:cs="Times New Roman"/>
        </w:rPr>
        <w:t xml:space="preserve"> HIV </w:t>
      </w:r>
      <w:r w:rsidR="0819E0A1" w:rsidRPr="00520B8F">
        <w:rPr>
          <w:rFonts w:ascii="Times New Roman" w:hAnsi="Times New Roman" w:cs="Times New Roman"/>
        </w:rPr>
        <w:t xml:space="preserve">from being </w:t>
      </w:r>
      <w:r w:rsidR="028A283E" w:rsidRPr="00520B8F">
        <w:rPr>
          <w:rFonts w:ascii="Times New Roman" w:hAnsi="Times New Roman" w:cs="Times New Roman"/>
        </w:rPr>
        <w:t>transmitted by blood transfusion</w:t>
      </w:r>
      <w:r w:rsidR="2F6EF0BB" w:rsidRPr="00520B8F">
        <w:rPr>
          <w:rFonts w:ascii="Times New Roman" w:hAnsi="Times New Roman" w:cs="Times New Roman"/>
        </w:rPr>
        <w:t>s</w:t>
      </w:r>
      <w:r w:rsidR="028A283E" w:rsidRPr="00520B8F">
        <w:rPr>
          <w:rFonts w:ascii="Times New Roman" w:hAnsi="Times New Roman" w:cs="Times New Roman"/>
        </w:rPr>
        <w:t xml:space="preserve">. </w:t>
      </w:r>
    </w:p>
    <w:p w14:paraId="04B7D73E" w14:textId="2BAC2A8B" w:rsidR="00D56F70" w:rsidRPr="00520B8F" w:rsidRDefault="00B947C8" w:rsidP="00BC340C">
      <w:pPr>
        <w:pStyle w:val="ListeParagraf"/>
        <w:numPr>
          <w:ilvl w:val="0"/>
          <w:numId w:val="4"/>
        </w:numPr>
        <w:jc w:val="both"/>
      </w:pPr>
      <w:r w:rsidRPr="00520B8F">
        <w:rPr>
          <w:rFonts w:ascii="Times New Roman" w:hAnsi="Times New Roman" w:cs="Times New Roman"/>
        </w:rPr>
        <w:t xml:space="preserve">All health needs of HIV-positive and AIDS patients should be met free of charge, and regulations that protect the human rights of these people should be made. </w:t>
      </w:r>
    </w:p>
    <w:p w14:paraId="0B14620F" w14:textId="77777777" w:rsidR="006E4096" w:rsidRPr="00520B8F" w:rsidRDefault="005009C6" w:rsidP="00BC340C">
      <w:pPr>
        <w:pStyle w:val="ListeParagraf"/>
        <w:numPr>
          <w:ilvl w:val="0"/>
          <w:numId w:val="4"/>
        </w:numPr>
        <w:jc w:val="both"/>
      </w:pPr>
      <w:r w:rsidRPr="00520B8F">
        <w:rPr>
          <w:rFonts w:ascii="Times New Roman" w:hAnsi="Times New Roman" w:cs="Times New Roman"/>
        </w:rPr>
        <w:t>Data on the medical negligence should be shared with the public.</w:t>
      </w:r>
    </w:p>
    <w:p w14:paraId="24A2E2B2" w14:textId="5335A104" w:rsidR="00B947C8" w:rsidRPr="00520B8F" w:rsidRDefault="00520B8F" w:rsidP="533F4A94">
      <w:pPr>
        <w:jc w:val="both"/>
        <w:rPr>
          <w:rFonts w:ascii="Times New Roman" w:hAnsi="Times New Roman" w:cs="Times New Roman"/>
        </w:rPr>
      </w:pPr>
      <w:r>
        <w:rPr>
          <w:rFonts w:ascii="Times New Roman" w:hAnsi="Times New Roman" w:cs="Times New Roman"/>
        </w:rPr>
        <w:t>31</w:t>
      </w:r>
      <w:r w:rsidR="6D7DDB18" w:rsidRPr="00520B8F">
        <w:rPr>
          <w:rFonts w:ascii="Times New Roman" w:hAnsi="Times New Roman" w:cs="Times New Roman"/>
        </w:rPr>
        <w:t xml:space="preserve">. </w:t>
      </w:r>
      <w:r w:rsidR="00B947C8" w:rsidRPr="00520B8F">
        <w:rPr>
          <w:rFonts w:ascii="Times New Roman" w:hAnsi="Times New Roman" w:cs="Times New Roman"/>
        </w:rPr>
        <w:t xml:space="preserve">There are serious problems with legal experts. </w:t>
      </w:r>
      <w:r w:rsidR="4BD62287" w:rsidRPr="00520B8F">
        <w:rPr>
          <w:rFonts w:ascii="Times New Roman" w:hAnsi="Times New Roman" w:cs="Times New Roman"/>
        </w:rPr>
        <w:t xml:space="preserve">In this respect, the </w:t>
      </w:r>
      <w:r w:rsidR="4BD62287" w:rsidRPr="00520B8F">
        <w:rPr>
          <w:rFonts w:ascii="Times New Roman" w:eastAsia="Times New Roman" w:hAnsi="Times New Roman" w:cs="Times New Roman"/>
        </w:rPr>
        <w:t>Life Memory Freedom Association kindly asks the Committee of Ministers to request the Turkish authorities to take the following measures:</w:t>
      </w:r>
      <w:r w:rsidR="4BD62287" w:rsidRPr="00520B8F">
        <w:rPr>
          <w:rFonts w:ascii="Times New Roman" w:hAnsi="Times New Roman" w:cs="Times New Roman"/>
        </w:rPr>
        <w:t xml:space="preserve"> </w:t>
      </w:r>
    </w:p>
    <w:p w14:paraId="0AC59D10" w14:textId="47D213E3" w:rsidR="00B947C8" w:rsidRPr="00520B8F" w:rsidRDefault="00B947C8" w:rsidP="00BC340C">
      <w:pPr>
        <w:pStyle w:val="ListeParagraf"/>
        <w:numPr>
          <w:ilvl w:val="0"/>
          <w:numId w:val="3"/>
        </w:numPr>
        <w:jc w:val="both"/>
        <w:rPr>
          <w:rFonts w:eastAsiaTheme="minorEastAsia"/>
        </w:rPr>
      </w:pPr>
      <w:r w:rsidRPr="00520B8F">
        <w:rPr>
          <w:rFonts w:ascii="Times New Roman" w:hAnsi="Times New Roman" w:cs="Times New Roman"/>
        </w:rPr>
        <w:t xml:space="preserve">The number of experts and the quality of experts should be increased. </w:t>
      </w:r>
    </w:p>
    <w:p w14:paraId="2DE3769E" w14:textId="44882363" w:rsidR="00B947C8" w:rsidRPr="00520B8F" w:rsidRDefault="00B947C8" w:rsidP="00BC340C">
      <w:pPr>
        <w:pStyle w:val="ListeParagraf"/>
        <w:numPr>
          <w:ilvl w:val="0"/>
          <w:numId w:val="3"/>
        </w:numPr>
        <w:jc w:val="both"/>
      </w:pPr>
      <w:r w:rsidRPr="00520B8F">
        <w:rPr>
          <w:rFonts w:ascii="Times New Roman" w:hAnsi="Times New Roman" w:cs="Times New Roman"/>
        </w:rPr>
        <w:t xml:space="preserve">The capacity of the Forensic Medicine Institute should be improved. </w:t>
      </w:r>
    </w:p>
    <w:p w14:paraId="6713A4ED" w14:textId="379E64AE" w:rsidR="00B947C8" w:rsidRPr="00520B8F" w:rsidRDefault="00B947C8" w:rsidP="00BC340C">
      <w:pPr>
        <w:pStyle w:val="ListeParagraf"/>
        <w:numPr>
          <w:ilvl w:val="0"/>
          <w:numId w:val="3"/>
        </w:numPr>
        <w:jc w:val="both"/>
      </w:pPr>
      <w:r w:rsidRPr="00520B8F">
        <w:rPr>
          <w:rFonts w:ascii="Times New Roman" w:hAnsi="Times New Roman" w:cs="Times New Roman"/>
        </w:rPr>
        <w:t xml:space="preserve">The number of specialized boards, specialized offices and personnel of the Forensic Medicine Institute should be increased. </w:t>
      </w:r>
    </w:p>
    <w:p w14:paraId="060DF5CA" w14:textId="6C854612" w:rsidR="00B947C8" w:rsidRPr="00520B8F" w:rsidRDefault="00B947C8" w:rsidP="00BC340C">
      <w:pPr>
        <w:pStyle w:val="ListeParagraf"/>
        <w:numPr>
          <w:ilvl w:val="0"/>
          <w:numId w:val="3"/>
        </w:numPr>
        <w:jc w:val="both"/>
      </w:pPr>
      <w:r w:rsidRPr="00520B8F">
        <w:rPr>
          <w:rFonts w:ascii="Times New Roman" w:hAnsi="Times New Roman" w:cs="Times New Roman"/>
        </w:rPr>
        <w:t xml:space="preserve">The Law on the Forensic Medicine Institute should be revised. </w:t>
      </w:r>
    </w:p>
    <w:p w14:paraId="4E6A851F" w14:textId="56465330" w:rsidR="00B947C8" w:rsidRPr="00520B8F" w:rsidRDefault="00B947C8" w:rsidP="00BC340C">
      <w:pPr>
        <w:pStyle w:val="ListeParagraf"/>
        <w:numPr>
          <w:ilvl w:val="0"/>
          <w:numId w:val="3"/>
        </w:numPr>
        <w:jc w:val="both"/>
      </w:pPr>
      <w:r w:rsidRPr="00520B8F">
        <w:rPr>
          <w:rFonts w:ascii="Times New Roman" w:hAnsi="Times New Roman" w:cs="Times New Roman"/>
        </w:rPr>
        <w:t xml:space="preserve">The matters related to medical negligence should be prioritized in the Forensic Medicine Institute. </w:t>
      </w:r>
    </w:p>
    <w:p w14:paraId="22AD5830" w14:textId="5F2206F3" w:rsidR="00B947C8" w:rsidRPr="00520B8F" w:rsidRDefault="00B947C8" w:rsidP="00BC340C">
      <w:pPr>
        <w:pStyle w:val="ListeParagraf"/>
        <w:numPr>
          <w:ilvl w:val="0"/>
          <w:numId w:val="3"/>
        </w:numPr>
        <w:jc w:val="both"/>
      </w:pPr>
      <w:r w:rsidRPr="00520B8F">
        <w:rPr>
          <w:rFonts w:ascii="Times New Roman" w:hAnsi="Times New Roman" w:cs="Times New Roman"/>
        </w:rPr>
        <w:lastRenderedPageBreak/>
        <w:t>The quality of medical reports should be improved.</w:t>
      </w:r>
    </w:p>
    <w:p w14:paraId="3DC007BF" w14:textId="77777777" w:rsidR="006E4096" w:rsidRPr="00520B8F" w:rsidRDefault="006E4096" w:rsidP="006E4096">
      <w:pPr>
        <w:pStyle w:val="ListeParagraf"/>
        <w:numPr>
          <w:ilvl w:val="0"/>
          <w:numId w:val="3"/>
        </w:numPr>
        <w:jc w:val="both"/>
      </w:pPr>
      <w:r w:rsidRPr="00520B8F">
        <w:rPr>
          <w:rFonts w:ascii="Times New Roman" w:hAnsi="Times New Roman" w:cs="Times New Roman"/>
          <w:shd w:val="clear" w:color="auto" w:fill="FFFFFF"/>
        </w:rPr>
        <w:t xml:space="preserve">Statistics on the number of times a report is received for a case and on the report preparation times should be shared. </w:t>
      </w:r>
      <w:r w:rsidRPr="00520B8F">
        <w:rPr>
          <w:rFonts w:ascii="Times New Roman" w:hAnsi="Times New Roman" w:cs="Times New Roman"/>
        </w:rPr>
        <w:t xml:space="preserve"> </w:t>
      </w:r>
    </w:p>
    <w:p w14:paraId="09FBCBEE" w14:textId="77777777" w:rsidR="00B947C8" w:rsidRPr="00520B8F" w:rsidRDefault="00B947C8" w:rsidP="009124AD">
      <w:pPr>
        <w:jc w:val="both"/>
        <w:rPr>
          <w:rFonts w:ascii="Times New Roman" w:hAnsi="Times New Roman" w:cs="Times New Roman"/>
        </w:rPr>
      </w:pPr>
    </w:p>
    <w:p w14:paraId="10DB4634" w14:textId="7A727A00" w:rsidR="00B947C8" w:rsidRPr="00520B8F" w:rsidRDefault="00EA29C5" w:rsidP="533F4A94">
      <w:pPr>
        <w:jc w:val="both"/>
        <w:rPr>
          <w:rFonts w:ascii="Times New Roman" w:hAnsi="Times New Roman" w:cs="Times New Roman"/>
        </w:rPr>
      </w:pPr>
      <w:r w:rsidRPr="00520B8F">
        <w:rPr>
          <w:rFonts w:ascii="Times New Roman" w:hAnsi="Times New Roman" w:cs="Times New Roman"/>
        </w:rPr>
        <w:t>3</w:t>
      </w:r>
      <w:r w:rsidR="00520B8F">
        <w:rPr>
          <w:rFonts w:ascii="Times New Roman" w:hAnsi="Times New Roman" w:cs="Times New Roman"/>
        </w:rPr>
        <w:t>2</w:t>
      </w:r>
      <w:r w:rsidR="01B158AC" w:rsidRPr="00520B8F">
        <w:rPr>
          <w:rFonts w:ascii="Times New Roman" w:hAnsi="Times New Roman" w:cs="Times New Roman"/>
        </w:rPr>
        <w:t xml:space="preserve">. </w:t>
      </w:r>
      <w:r w:rsidR="3DD8262A" w:rsidRPr="00520B8F">
        <w:rPr>
          <w:rFonts w:ascii="Times New Roman" w:hAnsi="Times New Roman" w:cs="Times New Roman"/>
        </w:rPr>
        <w:t>With regard to the ongoing</w:t>
      </w:r>
      <w:r w:rsidR="00B947C8" w:rsidRPr="00520B8F">
        <w:rPr>
          <w:rFonts w:ascii="Times New Roman" w:hAnsi="Times New Roman" w:cs="Times New Roman"/>
        </w:rPr>
        <w:t xml:space="preserve"> serious problems with disciplinary and criminal investigations related to allegations of medical negligence</w:t>
      </w:r>
      <w:r w:rsidR="606C0630" w:rsidRPr="00520B8F">
        <w:rPr>
          <w:rFonts w:ascii="Times New Roman" w:hAnsi="Times New Roman" w:cs="Times New Roman"/>
        </w:rPr>
        <w:t xml:space="preserve">, the </w:t>
      </w:r>
      <w:r w:rsidR="606C0630" w:rsidRPr="00520B8F">
        <w:rPr>
          <w:rFonts w:ascii="Times New Roman" w:eastAsia="Times New Roman" w:hAnsi="Times New Roman" w:cs="Times New Roman"/>
        </w:rPr>
        <w:t>Life Memory Freedom Association kindly asks the Committee of Ministers to request the Turkish authorities to take the following measures:</w:t>
      </w:r>
      <w:r w:rsidR="606C0630" w:rsidRPr="00520B8F">
        <w:rPr>
          <w:rFonts w:ascii="Times New Roman" w:hAnsi="Times New Roman" w:cs="Times New Roman"/>
        </w:rPr>
        <w:t xml:space="preserve"> </w:t>
      </w:r>
    </w:p>
    <w:p w14:paraId="73342212" w14:textId="64F40433" w:rsidR="00B947C8" w:rsidRPr="00520B8F" w:rsidRDefault="00B947C8" w:rsidP="00BC340C">
      <w:pPr>
        <w:pStyle w:val="ListeParagraf"/>
        <w:numPr>
          <w:ilvl w:val="0"/>
          <w:numId w:val="1"/>
        </w:numPr>
        <w:jc w:val="both"/>
        <w:rPr>
          <w:rFonts w:eastAsiaTheme="minorEastAsia"/>
        </w:rPr>
      </w:pPr>
      <w:r w:rsidRPr="00520B8F">
        <w:rPr>
          <w:rFonts w:ascii="Times New Roman" w:hAnsi="Times New Roman" w:cs="Times New Roman"/>
        </w:rPr>
        <w:t xml:space="preserve">The public should be informed about disciplinary and criminal investigations related to allegations of medical negligence. </w:t>
      </w:r>
    </w:p>
    <w:p w14:paraId="1E594083" w14:textId="39BD355E" w:rsidR="00B947C8" w:rsidRPr="00520B8F" w:rsidRDefault="00B947C8" w:rsidP="00BC340C">
      <w:pPr>
        <w:pStyle w:val="ListeParagraf"/>
        <w:numPr>
          <w:ilvl w:val="0"/>
          <w:numId w:val="1"/>
        </w:numPr>
        <w:jc w:val="both"/>
      </w:pPr>
      <w:r w:rsidRPr="00520B8F">
        <w:rPr>
          <w:rFonts w:ascii="Times New Roman" w:hAnsi="Times New Roman" w:cs="Times New Roman"/>
        </w:rPr>
        <w:t xml:space="preserve">Effective and rapid processes should be implemented so that disciplinary and criminal investigations are not closed due to statute of limitations. </w:t>
      </w:r>
    </w:p>
    <w:p w14:paraId="376FD217" w14:textId="74A5B3AE" w:rsidR="00EA29C5" w:rsidRPr="00520B8F" w:rsidRDefault="00B947C8" w:rsidP="00BC340C">
      <w:pPr>
        <w:pStyle w:val="ListeParagraf"/>
        <w:numPr>
          <w:ilvl w:val="0"/>
          <w:numId w:val="1"/>
        </w:numPr>
        <w:spacing w:line="259" w:lineRule="auto"/>
        <w:jc w:val="both"/>
        <w:rPr>
          <w:rFonts w:ascii="Times New Roman" w:hAnsi="Times New Roman" w:cs="Times New Roman"/>
        </w:rPr>
      </w:pPr>
      <w:r w:rsidRPr="00520B8F">
        <w:rPr>
          <w:rFonts w:ascii="Times New Roman" w:hAnsi="Times New Roman" w:cs="Times New Roman"/>
        </w:rPr>
        <w:t>Disciplinary and criminal investigations should be examined within the scope of individual application</w:t>
      </w:r>
      <w:r w:rsidR="00EA29C5" w:rsidRPr="00520B8F">
        <w:rPr>
          <w:rFonts w:ascii="Times New Roman" w:hAnsi="Times New Roman" w:cs="Times New Roman"/>
        </w:rPr>
        <w:t xml:space="preserve"> in terms of violation of Article 2, </w:t>
      </w:r>
      <w:r w:rsidR="00E23ADD" w:rsidRPr="00520B8F">
        <w:rPr>
          <w:rFonts w:ascii="Times New Roman" w:hAnsi="Times New Roman" w:cs="Times New Roman"/>
        </w:rPr>
        <w:t xml:space="preserve">material or </w:t>
      </w:r>
      <w:r w:rsidR="00EA29C5" w:rsidRPr="00520B8F">
        <w:rPr>
          <w:rFonts w:ascii="Times New Roman" w:hAnsi="Times New Roman" w:cs="Times New Roman"/>
        </w:rPr>
        <w:t xml:space="preserve">procedural aspect. </w:t>
      </w:r>
    </w:p>
    <w:p w14:paraId="4A551523" w14:textId="77777777" w:rsidR="00EA29C5" w:rsidRPr="00520B8F" w:rsidRDefault="00EA29C5" w:rsidP="00EA29C5">
      <w:pPr>
        <w:spacing w:line="259" w:lineRule="auto"/>
        <w:jc w:val="both"/>
        <w:rPr>
          <w:rFonts w:ascii="Times New Roman" w:hAnsi="Times New Roman" w:cs="Times New Roman"/>
        </w:rPr>
      </w:pPr>
    </w:p>
    <w:p w14:paraId="4F3634A5" w14:textId="0A376CD9" w:rsidR="00B947C8" w:rsidRPr="00520B8F" w:rsidRDefault="00EA29C5" w:rsidP="00EA29C5">
      <w:pPr>
        <w:spacing w:line="259" w:lineRule="auto"/>
        <w:jc w:val="both"/>
        <w:rPr>
          <w:rFonts w:ascii="Times New Roman" w:hAnsi="Times New Roman" w:cs="Times New Roman"/>
        </w:rPr>
      </w:pPr>
      <w:r w:rsidRPr="00520B8F">
        <w:rPr>
          <w:rFonts w:ascii="Times New Roman" w:hAnsi="Times New Roman" w:cs="Times New Roman"/>
        </w:rPr>
        <w:t>3</w:t>
      </w:r>
      <w:r w:rsidR="00520B8F">
        <w:rPr>
          <w:rFonts w:ascii="Times New Roman" w:hAnsi="Times New Roman" w:cs="Times New Roman"/>
        </w:rPr>
        <w:t>3</w:t>
      </w:r>
      <w:r w:rsidR="56A923A1" w:rsidRPr="00520B8F">
        <w:rPr>
          <w:rFonts w:ascii="Times New Roman" w:hAnsi="Times New Roman" w:cs="Times New Roman"/>
        </w:rPr>
        <w:t>. As regards procedural obligations, we respectfully request the Committee of Ministers to continue supervision of this group of cases under enhanced supervision</w:t>
      </w:r>
      <w:r w:rsidR="12F45D2F" w:rsidRPr="00520B8F">
        <w:rPr>
          <w:rFonts w:ascii="Times New Roman" w:hAnsi="Times New Roman" w:cs="Times New Roman"/>
        </w:rPr>
        <w:t xml:space="preserve"> track</w:t>
      </w:r>
      <w:r w:rsidR="56A923A1" w:rsidRPr="00520B8F">
        <w:rPr>
          <w:rFonts w:ascii="Times New Roman" w:hAnsi="Times New Roman" w:cs="Times New Roman"/>
        </w:rPr>
        <w:t xml:space="preserve"> (given the length of time which passed since the judgments became final). </w:t>
      </w:r>
    </w:p>
    <w:p w14:paraId="34B09E7B" w14:textId="56EA8467" w:rsidR="00B947C8" w:rsidRPr="00520B8F" w:rsidRDefault="00B947C8" w:rsidP="533F4A94">
      <w:pPr>
        <w:jc w:val="both"/>
        <w:rPr>
          <w:rFonts w:ascii="Times New Roman" w:hAnsi="Times New Roman" w:cs="Times New Roman"/>
        </w:rPr>
      </w:pPr>
    </w:p>
    <w:p w14:paraId="0E6D3BCC" w14:textId="11AAC79C" w:rsidR="00B947C8" w:rsidRPr="00520B8F" w:rsidRDefault="00B947C8" w:rsidP="009124AD">
      <w:pPr>
        <w:jc w:val="both"/>
        <w:rPr>
          <w:rFonts w:ascii="Times New Roman" w:hAnsi="Times New Roman" w:cs="Times New Roman"/>
        </w:rPr>
      </w:pPr>
      <w:r w:rsidRPr="00520B8F">
        <w:rPr>
          <w:rFonts w:ascii="Times New Roman" w:hAnsi="Times New Roman" w:cs="Times New Roman"/>
        </w:rPr>
        <w:t xml:space="preserve">Judicial and human rights reforms should not remain on </w:t>
      </w:r>
      <w:r w:rsidR="00283900" w:rsidRPr="00520B8F">
        <w:rPr>
          <w:rFonts w:ascii="Times New Roman" w:hAnsi="Times New Roman" w:cs="Times New Roman"/>
        </w:rPr>
        <w:t>paper;</w:t>
      </w:r>
      <w:r w:rsidRPr="00520B8F">
        <w:rPr>
          <w:rFonts w:ascii="Times New Roman" w:hAnsi="Times New Roman" w:cs="Times New Roman"/>
        </w:rPr>
        <w:t xml:space="preserve"> they should actually be implemented.</w:t>
      </w:r>
    </w:p>
    <w:p w14:paraId="692E2DCC" w14:textId="77777777" w:rsidR="00283900" w:rsidRPr="00520B8F" w:rsidRDefault="00283900" w:rsidP="009124AD">
      <w:pPr>
        <w:jc w:val="both"/>
        <w:rPr>
          <w:rFonts w:ascii="Times New Roman" w:hAnsi="Times New Roman" w:cs="Times New Roman"/>
        </w:rPr>
      </w:pPr>
    </w:p>
    <w:p w14:paraId="154154BF" w14:textId="77777777" w:rsidR="00A721E1" w:rsidRDefault="00A721E1" w:rsidP="009124AD">
      <w:pPr>
        <w:jc w:val="both"/>
        <w:outlineLvl w:val="0"/>
        <w:rPr>
          <w:rFonts w:ascii="Calibri" w:hAnsi="Calibri" w:cs="Times New Roman"/>
          <w:bCs/>
        </w:rPr>
      </w:pPr>
    </w:p>
    <w:p w14:paraId="6D7F323A" w14:textId="77777777" w:rsidR="00F57346" w:rsidRDefault="00F57346" w:rsidP="009124AD">
      <w:pPr>
        <w:jc w:val="both"/>
        <w:outlineLvl w:val="0"/>
        <w:rPr>
          <w:rFonts w:ascii="Calibri" w:hAnsi="Calibri" w:cs="Times New Roman"/>
          <w:bCs/>
        </w:rPr>
      </w:pPr>
    </w:p>
    <w:p w14:paraId="43B6BC1A" w14:textId="77777777" w:rsidR="00F57346" w:rsidRDefault="00F57346" w:rsidP="009124AD">
      <w:pPr>
        <w:jc w:val="both"/>
        <w:outlineLvl w:val="0"/>
        <w:rPr>
          <w:rFonts w:ascii="Calibri" w:hAnsi="Calibri" w:cs="Times New Roman"/>
          <w:bCs/>
        </w:rPr>
      </w:pPr>
    </w:p>
    <w:p w14:paraId="545B13FA" w14:textId="77777777" w:rsidR="00F57346" w:rsidRDefault="00F57346" w:rsidP="009124AD">
      <w:pPr>
        <w:jc w:val="both"/>
        <w:outlineLvl w:val="0"/>
        <w:rPr>
          <w:rFonts w:ascii="Calibri" w:hAnsi="Calibri" w:cs="Times New Roman"/>
          <w:bCs/>
        </w:rPr>
      </w:pPr>
    </w:p>
    <w:p w14:paraId="451A3231" w14:textId="77777777" w:rsidR="00F57346" w:rsidRDefault="00F57346" w:rsidP="009124AD">
      <w:pPr>
        <w:jc w:val="both"/>
        <w:outlineLvl w:val="0"/>
        <w:rPr>
          <w:rFonts w:ascii="Calibri" w:hAnsi="Calibri" w:cs="Times New Roman"/>
          <w:bCs/>
        </w:rPr>
      </w:pPr>
    </w:p>
    <w:p w14:paraId="19044983" w14:textId="77777777" w:rsidR="00F57346" w:rsidRDefault="00F57346" w:rsidP="009124AD">
      <w:pPr>
        <w:jc w:val="both"/>
        <w:outlineLvl w:val="0"/>
        <w:rPr>
          <w:rFonts w:ascii="Calibri" w:hAnsi="Calibri" w:cs="Times New Roman"/>
          <w:bCs/>
        </w:rPr>
      </w:pPr>
    </w:p>
    <w:p w14:paraId="5484D38C" w14:textId="77777777" w:rsidR="00F57346" w:rsidRDefault="00F57346" w:rsidP="009124AD">
      <w:pPr>
        <w:jc w:val="both"/>
        <w:outlineLvl w:val="0"/>
        <w:rPr>
          <w:rFonts w:ascii="Calibri" w:hAnsi="Calibri" w:cs="Times New Roman"/>
          <w:bCs/>
        </w:rPr>
      </w:pPr>
    </w:p>
    <w:p w14:paraId="06B47B1A" w14:textId="77777777" w:rsidR="00F57346" w:rsidRDefault="00F57346" w:rsidP="009124AD">
      <w:pPr>
        <w:jc w:val="both"/>
        <w:outlineLvl w:val="0"/>
        <w:rPr>
          <w:rFonts w:ascii="Calibri" w:hAnsi="Calibri" w:cs="Times New Roman"/>
          <w:bCs/>
        </w:rPr>
      </w:pPr>
    </w:p>
    <w:p w14:paraId="54E354BC" w14:textId="77777777" w:rsidR="00F57346" w:rsidRDefault="00F57346" w:rsidP="009124AD">
      <w:pPr>
        <w:jc w:val="both"/>
        <w:outlineLvl w:val="0"/>
        <w:rPr>
          <w:rFonts w:ascii="Calibri" w:hAnsi="Calibri" w:cs="Times New Roman"/>
          <w:bCs/>
        </w:rPr>
      </w:pPr>
    </w:p>
    <w:p w14:paraId="3036844B" w14:textId="77777777" w:rsidR="00F57346" w:rsidRDefault="00F57346" w:rsidP="009124AD">
      <w:pPr>
        <w:jc w:val="both"/>
        <w:outlineLvl w:val="0"/>
        <w:rPr>
          <w:rFonts w:ascii="Calibri" w:hAnsi="Calibri" w:cs="Times New Roman"/>
          <w:bCs/>
        </w:rPr>
      </w:pPr>
    </w:p>
    <w:p w14:paraId="367DFC7A" w14:textId="77777777" w:rsidR="00F57346" w:rsidRDefault="00F57346" w:rsidP="009124AD">
      <w:pPr>
        <w:jc w:val="both"/>
        <w:outlineLvl w:val="0"/>
        <w:rPr>
          <w:rFonts w:ascii="Calibri" w:hAnsi="Calibri" w:cs="Times New Roman"/>
          <w:bCs/>
        </w:rPr>
      </w:pPr>
    </w:p>
    <w:p w14:paraId="1A4B95E3" w14:textId="77777777" w:rsidR="00F57346" w:rsidRDefault="00F57346" w:rsidP="009124AD">
      <w:pPr>
        <w:jc w:val="both"/>
        <w:outlineLvl w:val="0"/>
        <w:rPr>
          <w:rFonts w:ascii="Calibri" w:hAnsi="Calibri" w:cs="Times New Roman"/>
          <w:bCs/>
        </w:rPr>
      </w:pPr>
    </w:p>
    <w:p w14:paraId="60C1D677" w14:textId="77777777" w:rsidR="00F57346" w:rsidRDefault="00F57346" w:rsidP="009124AD">
      <w:pPr>
        <w:jc w:val="both"/>
        <w:outlineLvl w:val="0"/>
        <w:rPr>
          <w:rFonts w:ascii="Calibri" w:hAnsi="Calibri" w:cs="Times New Roman"/>
          <w:bCs/>
        </w:rPr>
      </w:pPr>
    </w:p>
    <w:p w14:paraId="074D8B7F" w14:textId="77777777" w:rsidR="00F57346" w:rsidRDefault="00F57346" w:rsidP="009124AD">
      <w:pPr>
        <w:jc w:val="both"/>
        <w:outlineLvl w:val="0"/>
        <w:rPr>
          <w:rFonts w:ascii="Calibri" w:hAnsi="Calibri" w:cs="Times New Roman"/>
          <w:bCs/>
        </w:rPr>
      </w:pPr>
    </w:p>
    <w:p w14:paraId="44ED28B4" w14:textId="77777777" w:rsidR="00F57346" w:rsidRDefault="00F57346" w:rsidP="009124AD">
      <w:pPr>
        <w:jc w:val="both"/>
        <w:outlineLvl w:val="0"/>
        <w:rPr>
          <w:rFonts w:ascii="Calibri" w:hAnsi="Calibri" w:cs="Times New Roman"/>
          <w:bCs/>
        </w:rPr>
      </w:pPr>
    </w:p>
    <w:p w14:paraId="593F699D" w14:textId="77777777" w:rsidR="00F57346" w:rsidRDefault="00F57346" w:rsidP="009124AD">
      <w:pPr>
        <w:jc w:val="both"/>
        <w:outlineLvl w:val="0"/>
        <w:rPr>
          <w:rFonts w:ascii="Calibri" w:hAnsi="Calibri" w:cs="Times New Roman"/>
          <w:bCs/>
        </w:rPr>
      </w:pPr>
    </w:p>
    <w:p w14:paraId="70C39F46" w14:textId="77777777" w:rsidR="00F57346" w:rsidRDefault="00F57346" w:rsidP="009124AD">
      <w:pPr>
        <w:jc w:val="both"/>
        <w:outlineLvl w:val="0"/>
        <w:rPr>
          <w:rFonts w:ascii="Calibri" w:hAnsi="Calibri" w:cs="Times New Roman"/>
          <w:bCs/>
        </w:rPr>
      </w:pPr>
    </w:p>
    <w:p w14:paraId="1BC22835" w14:textId="77777777" w:rsidR="00F57346" w:rsidRDefault="00F57346" w:rsidP="009124AD">
      <w:pPr>
        <w:jc w:val="both"/>
        <w:outlineLvl w:val="0"/>
        <w:rPr>
          <w:rFonts w:ascii="Calibri" w:hAnsi="Calibri" w:cs="Times New Roman"/>
          <w:bCs/>
        </w:rPr>
      </w:pPr>
    </w:p>
    <w:p w14:paraId="028D42C3" w14:textId="77777777" w:rsidR="00F57346" w:rsidRDefault="00F57346" w:rsidP="009124AD">
      <w:pPr>
        <w:jc w:val="both"/>
        <w:outlineLvl w:val="0"/>
        <w:rPr>
          <w:rFonts w:ascii="Calibri" w:hAnsi="Calibri" w:cs="Times New Roman"/>
          <w:bCs/>
        </w:rPr>
      </w:pPr>
    </w:p>
    <w:p w14:paraId="0046ED96" w14:textId="77777777" w:rsidR="00F57346" w:rsidRDefault="00F57346" w:rsidP="009124AD">
      <w:pPr>
        <w:jc w:val="both"/>
        <w:outlineLvl w:val="0"/>
        <w:rPr>
          <w:rFonts w:ascii="Calibri" w:hAnsi="Calibri" w:cs="Times New Roman"/>
          <w:bCs/>
        </w:rPr>
      </w:pPr>
    </w:p>
    <w:p w14:paraId="3C15568E" w14:textId="77777777" w:rsidR="00F57346" w:rsidRDefault="00F57346" w:rsidP="009124AD">
      <w:pPr>
        <w:jc w:val="both"/>
        <w:outlineLvl w:val="0"/>
        <w:rPr>
          <w:rFonts w:ascii="Calibri" w:hAnsi="Calibri" w:cs="Times New Roman"/>
          <w:bCs/>
        </w:rPr>
      </w:pPr>
    </w:p>
    <w:p w14:paraId="19A665DE" w14:textId="77777777" w:rsidR="00F57346" w:rsidRDefault="00F57346" w:rsidP="009124AD">
      <w:pPr>
        <w:jc w:val="both"/>
        <w:outlineLvl w:val="0"/>
        <w:rPr>
          <w:rFonts w:ascii="Calibri" w:hAnsi="Calibri" w:cs="Times New Roman"/>
          <w:bCs/>
        </w:rPr>
      </w:pPr>
    </w:p>
    <w:p w14:paraId="1F9EA887" w14:textId="77777777" w:rsidR="00F57346" w:rsidRDefault="00F57346" w:rsidP="009124AD">
      <w:pPr>
        <w:jc w:val="both"/>
        <w:outlineLvl w:val="0"/>
        <w:rPr>
          <w:rFonts w:ascii="Calibri" w:hAnsi="Calibri" w:cs="Times New Roman"/>
          <w:bCs/>
        </w:rPr>
      </w:pPr>
    </w:p>
    <w:p w14:paraId="24B40355" w14:textId="77777777" w:rsidR="00F57346" w:rsidRDefault="00F57346" w:rsidP="009124AD">
      <w:pPr>
        <w:jc w:val="both"/>
        <w:outlineLvl w:val="0"/>
        <w:rPr>
          <w:rFonts w:ascii="Calibri" w:hAnsi="Calibri" w:cs="Times New Roman"/>
          <w:bCs/>
        </w:rPr>
      </w:pPr>
    </w:p>
    <w:p w14:paraId="28F0A7E0" w14:textId="77777777" w:rsidR="00F57346" w:rsidRPr="00520B8F" w:rsidRDefault="00F57346" w:rsidP="009124AD">
      <w:pPr>
        <w:jc w:val="both"/>
        <w:outlineLvl w:val="0"/>
        <w:rPr>
          <w:rFonts w:ascii="Calibri" w:hAnsi="Calibri" w:cs="Times New Roman"/>
          <w:bCs/>
        </w:rPr>
      </w:pPr>
    </w:p>
    <w:p w14:paraId="27249FC2" w14:textId="77777777" w:rsidR="009124AD" w:rsidRPr="00520B8F" w:rsidRDefault="009124AD" w:rsidP="009124AD">
      <w:pPr>
        <w:jc w:val="both"/>
        <w:outlineLvl w:val="0"/>
        <w:rPr>
          <w:rFonts w:ascii="Calibri" w:hAnsi="Calibri" w:cs="Times New Roman"/>
          <w:bCs/>
        </w:rPr>
      </w:pPr>
    </w:p>
    <w:p w14:paraId="2F26F54C" w14:textId="05EAD025" w:rsidR="00283900" w:rsidRPr="00520B8F" w:rsidRDefault="00283900" w:rsidP="009124AD">
      <w:pPr>
        <w:jc w:val="both"/>
        <w:outlineLvl w:val="0"/>
        <w:rPr>
          <w:rFonts w:ascii="Times New Roman" w:hAnsi="Times New Roman" w:cs="Times New Roman"/>
          <w:bCs/>
        </w:rPr>
      </w:pPr>
      <w:r w:rsidRPr="00520B8F">
        <w:rPr>
          <w:rFonts w:ascii="Times New Roman" w:hAnsi="Times New Roman" w:cs="Times New Roman"/>
        </w:rPr>
        <w:lastRenderedPageBreak/>
        <w:t>A</w:t>
      </w:r>
      <w:r w:rsidR="00753A1A" w:rsidRPr="00520B8F">
        <w:rPr>
          <w:rFonts w:ascii="Times New Roman" w:hAnsi="Times New Roman" w:cs="Times New Roman"/>
        </w:rPr>
        <w:t>nnexes</w:t>
      </w:r>
    </w:p>
    <w:p w14:paraId="48338BFB" w14:textId="77777777" w:rsidR="00283900" w:rsidRPr="00520B8F" w:rsidRDefault="00283900" w:rsidP="009124AD">
      <w:pPr>
        <w:jc w:val="both"/>
        <w:rPr>
          <w:rFonts w:ascii="Times New Roman" w:hAnsi="Times New Roman" w:cs="Times New Roman"/>
          <w:bCs/>
        </w:rPr>
      </w:pPr>
    </w:p>
    <w:p w14:paraId="01C2D047" w14:textId="7D87AEDC" w:rsidR="00290DCE" w:rsidRPr="007F03EE" w:rsidRDefault="00F31F56" w:rsidP="009124AD">
      <w:pPr>
        <w:pStyle w:val="DipnotMetni"/>
        <w:numPr>
          <w:ilvl w:val="0"/>
          <w:numId w:val="5"/>
        </w:numPr>
        <w:jc w:val="both"/>
        <w:rPr>
          <w:rFonts w:ascii="Times New Roman" w:hAnsi="Times New Roman" w:cs="Times New Roman"/>
          <w:sz w:val="22"/>
          <w:szCs w:val="22"/>
        </w:rPr>
      </w:pPr>
      <w:r w:rsidRPr="007F03EE">
        <w:rPr>
          <w:rFonts w:ascii="Times New Roman" w:hAnsi="Times New Roman" w:cs="Times New Roman"/>
          <w:sz w:val="22"/>
          <w:szCs w:val="22"/>
        </w:rPr>
        <w:t>Decision</w:t>
      </w:r>
      <w:r w:rsidR="00F43918" w:rsidRPr="007F03EE">
        <w:rPr>
          <w:rFonts w:ascii="Times New Roman" w:hAnsi="Times New Roman" w:cs="Times New Roman"/>
          <w:sz w:val="22"/>
          <w:szCs w:val="22"/>
        </w:rPr>
        <w:t xml:space="preserve"> E:2021/465 K:2021/4099 </w:t>
      </w:r>
      <w:r w:rsidRPr="007F03EE">
        <w:rPr>
          <w:rFonts w:ascii="Times New Roman" w:hAnsi="Times New Roman" w:cs="Times New Roman"/>
          <w:sz w:val="22"/>
          <w:szCs w:val="22"/>
        </w:rPr>
        <w:t xml:space="preserve"> </w:t>
      </w:r>
      <w:r w:rsidR="00290DCE" w:rsidRPr="007F03EE">
        <w:rPr>
          <w:rFonts w:ascii="Times New Roman" w:hAnsi="Times New Roman" w:cs="Times New Roman"/>
          <w:sz w:val="22"/>
          <w:szCs w:val="22"/>
        </w:rPr>
        <w:t xml:space="preserve">12th Criminal </w:t>
      </w:r>
      <w:r w:rsidR="00F43918" w:rsidRPr="007F03EE">
        <w:rPr>
          <w:rFonts w:ascii="Times New Roman" w:hAnsi="Times New Roman" w:cs="Times New Roman"/>
          <w:sz w:val="22"/>
          <w:szCs w:val="22"/>
        </w:rPr>
        <w:t>Chamber</w:t>
      </w:r>
      <w:r w:rsidR="00290DCE" w:rsidRPr="007F03EE">
        <w:rPr>
          <w:rFonts w:ascii="Times New Roman" w:hAnsi="Times New Roman" w:cs="Times New Roman"/>
          <w:sz w:val="22"/>
          <w:szCs w:val="22"/>
        </w:rPr>
        <w:t xml:space="preserve"> of the Court of Cassation </w:t>
      </w:r>
    </w:p>
    <w:p w14:paraId="1FFFEDAB" w14:textId="2DEFFA02" w:rsidR="00290DCE" w:rsidRPr="007F03EE" w:rsidRDefault="00F31F56" w:rsidP="009124AD">
      <w:pPr>
        <w:pStyle w:val="DipnotMetni"/>
        <w:numPr>
          <w:ilvl w:val="0"/>
          <w:numId w:val="5"/>
        </w:numPr>
        <w:jc w:val="both"/>
        <w:rPr>
          <w:rFonts w:ascii="Times New Roman" w:hAnsi="Times New Roman" w:cs="Times New Roman"/>
          <w:sz w:val="22"/>
          <w:szCs w:val="22"/>
        </w:rPr>
      </w:pPr>
      <w:r w:rsidRPr="007F03EE">
        <w:rPr>
          <w:rFonts w:ascii="Times New Roman" w:hAnsi="Times New Roman" w:cs="Times New Roman"/>
          <w:sz w:val="22"/>
          <w:szCs w:val="22"/>
        </w:rPr>
        <w:t xml:space="preserve">Decision </w:t>
      </w:r>
      <w:r w:rsidR="00F43918" w:rsidRPr="007F03EE">
        <w:rPr>
          <w:rFonts w:ascii="Times New Roman" w:hAnsi="Times New Roman" w:cs="Times New Roman"/>
          <w:sz w:val="22"/>
          <w:szCs w:val="22"/>
        </w:rPr>
        <w:t xml:space="preserve">E:2020/2146 K:2020/5574 </w:t>
      </w:r>
      <w:r w:rsidR="00290DCE" w:rsidRPr="007F03EE">
        <w:rPr>
          <w:rFonts w:ascii="Times New Roman" w:hAnsi="Times New Roman" w:cs="Times New Roman"/>
          <w:sz w:val="22"/>
          <w:szCs w:val="22"/>
        </w:rPr>
        <w:t xml:space="preserve">12th Criminal </w:t>
      </w:r>
      <w:r w:rsidR="00F43918" w:rsidRPr="007F03EE">
        <w:rPr>
          <w:rFonts w:ascii="Times New Roman" w:hAnsi="Times New Roman" w:cs="Times New Roman"/>
          <w:sz w:val="22"/>
          <w:szCs w:val="22"/>
        </w:rPr>
        <w:t>Chamber</w:t>
      </w:r>
      <w:r w:rsidR="00290DCE" w:rsidRPr="007F03EE">
        <w:rPr>
          <w:rFonts w:ascii="Times New Roman" w:hAnsi="Times New Roman" w:cs="Times New Roman"/>
          <w:sz w:val="22"/>
          <w:szCs w:val="22"/>
        </w:rPr>
        <w:t xml:space="preserve"> of the Court of Cassation </w:t>
      </w:r>
    </w:p>
    <w:p w14:paraId="70CEF6E5" w14:textId="642739CE" w:rsidR="00290DCE" w:rsidRPr="007F03EE" w:rsidRDefault="00F31F56" w:rsidP="009124AD">
      <w:pPr>
        <w:pStyle w:val="DipnotMetni"/>
        <w:numPr>
          <w:ilvl w:val="0"/>
          <w:numId w:val="5"/>
        </w:numPr>
        <w:jc w:val="both"/>
        <w:rPr>
          <w:rFonts w:ascii="Times New Roman" w:hAnsi="Times New Roman" w:cs="Times New Roman"/>
          <w:sz w:val="22"/>
          <w:szCs w:val="22"/>
        </w:rPr>
      </w:pPr>
      <w:r w:rsidRPr="007F03EE">
        <w:rPr>
          <w:rFonts w:ascii="Times New Roman" w:hAnsi="Times New Roman" w:cs="Times New Roman"/>
          <w:sz w:val="22"/>
          <w:szCs w:val="22"/>
        </w:rPr>
        <w:t xml:space="preserve">Decision </w:t>
      </w:r>
      <w:r w:rsidR="007F03EE" w:rsidRPr="007F03EE">
        <w:rPr>
          <w:rFonts w:ascii="Times New Roman" w:hAnsi="Times New Roman" w:cs="Times New Roman"/>
          <w:sz w:val="22"/>
          <w:szCs w:val="22"/>
        </w:rPr>
        <w:t xml:space="preserve">E:2020/1978 K:2020/5193 </w:t>
      </w:r>
      <w:r w:rsidR="00290DCE" w:rsidRPr="007F03EE">
        <w:rPr>
          <w:rFonts w:ascii="Times New Roman" w:hAnsi="Times New Roman" w:cs="Times New Roman"/>
          <w:sz w:val="22"/>
          <w:szCs w:val="22"/>
        </w:rPr>
        <w:t xml:space="preserve">12th Criminal </w:t>
      </w:r>
      <w:r w:rsidR="00F43918" w:rsidRPr="007F03EE">
        <w:rPr>
          <w:rFonts w:ascii="Times New Roman" w:hAnsi="Times New Roman" w:cs="Times New Roman"/>
          <w:sz w:val="22"/>
          <w:szCs w:val="22"/>
        </w:rPr>
        <w:t>Chamber</w:t>
      </w:r>
      <w:r w:rsidR="00290DCE" w:rsidRPr="007F03EE">
        <w:rPr>
          <w:rFonts w:ascii="Times New Roman" w:hAnsi="Times New Roman" w:cs="Times New Roman"/>
          <w:sz w:val="22"/>
          <w:szCs w:val="22"/>
        </w:rPr>
        <w:t xml:space="preserve"> of the Court of Cassation </w:t>
      </w:r>
    </w:p>
    <w:p w14:paraId="0166F0C0" w14:textId="354BC207" w:rsidR="00290DCE" w:rsidRPr="007F03EE" w:rsidRDefault="00F31F56" w:rsidP="009124AD">
      <w:pPr>
        <w:pStyle w:val="DipnotMetni"/>
        <w:numPr>
          <w:ilvl w:val="0"/>
          <w:numId w:val="5"/>
        </w:numPr>
        <w:jc w:val="both"/>
        <w:rPr>
          <w:rFonts w:ascii="Times New Roman" w:hAnsi="Times New Roman" w:cs="Times New Roman"/>
          <w:sz w:val="22"/>
          <w:szCs w:val="22"/>
        </w:rPr>
      </w:pPr>
      <w:r w:rsidRPr="007F03EE">
        <w:rPr>
          <w:rFonts w:ascii="Times New Roman" w:hAnsi="Times New Roman" w:cs="Times New Roman"/>
          <w:sz w:val="22"/>
          <w:szCs w:val="22"/>
        </w:rPr>
        <w:t xml:space="preserve">Decision </w:t>
      </w:r>
      <w:r w:rsidR="00F43918" w:rsidRPr="007F03EE">
        <w:rPr>
          <w:rFonts w:ascii="Times New Roman" w:hAnsi="Times New Roman" w:cs="Times New Roman"/>
          <w:sz w:val="22"/>
          <w:szCs w:val="22"/>
        </w:rPr>
        <w:t xml:space="preserve">E:2018/800 K:2019/4791 </w:t>
      </w:r>
      <w:r w:rsidR="00290DCE" w:rsidRPr="007F03EE">
        <w:rPr>
          <w:rFonts w:ascii="Times New Roman" w:hAnsi="Times New Roman" w:cs="Times New Roman"/>
          <w:sz w:val="22"/>
          <w:szCs w:val="22"/>
        </w:rPr>
        <w:t xml:space="preserve">12th Criminal </w:t>
      </w:r>
      <w:r w:rsidR="00F43918" w:rsidRPr="007F03EE">
        <w:rPr>
          <w:rFonts w:ascii="Times New Roman" w:hAnsi="Times New Roman" w:cs="Times New Roman"/>
          <w:sz w:val="22"/>
          <w:szCs w:val="22"/>
        </w:rPr>
        <w:t xml:space="preserve">Chamber </w:t>
      </w:r>
      <w:r w:rsidR="00290DCE" w:rsidRPr="007F03EE">
        <w:rPr>
          <w:rFonts w:ascii="Times New Roman" w:hAnsi="Times New Roman" w:cs="Times New Roman"/>
          <w:sz w:val="22"/>
          <w:szCs w:val="22"/>
        </w:rPr>
        <w:t xml:space="preserve">of the Court of Cassation </w:t>
      </w:r>
    </w:p>
    <w:p w14:paraId="2DDA60DA" w14:textId="11F3ABAE" w:rsidR="00290DCE" w:rsidRPr="007F03EE" w:rsidRDefault="00F31F56" w:rsidP="00F43918">
      <w:pPr>
        <w:pStyle w:val="DipnotMetni"/>
        <w:numPr>
          <w:ilvl w:val="0"/>
          <w:numId w:val="5"/>
        </w:numPr>
        <w:jc w:val="both"/>
        <w:rPr>
          <w:rFonts w:ascii="Times New Roman" w:hAnsi="Times New Roman" w:cs="Times New Roman"/>
          <w:sz w:val="22"/>
          <w:szCs w:val="22"/>
        </w:rPr>
      </w:pPr>
      <w:r w:rsidRPr="007F03EE">
        <w:rPr>
          <w:rFonts w:ascii="Times New Roman" w:hAnsi="Times New Roman" w:cs="Times New Roman"/>
          <w:sz w:val="22"/>
          <w:szCs w:val="22"/>
        </w:rPr>
        <w:t xml:space="preserve">Decision </w:t>
      </w:r>
      <w:r w:rsidR="00F43918" w:rsidRPr="007F03EE">
        <w:rPr>
          <w:rFonts w:ascii="Times New Roman" w:hAnsi="Times New Roman" w:cs="Times New Roman"/>
          <w:sz w:val="22"/>
          <w:szCs w:val="22"/>
        </w:rPr>
        <w:t xml:space="preserve">E:2018/5197 K:2018/8786 </w:t>
      </w:r>
      <w:r w:rsidR="00290DCE" w:rsidRPr="007F03EE">
        <w:rPr>
          <w:rFonts w:ascii="Times New Roman" w:hAnsi="Times New Roman" w:cs="Times New Roman"/>
          <w:sz w:val="22"/>
          <w:szCs w:val="22"/>
        </w:rPr>
        <w:t xml:space="preserve">12th Criminal </w:t>
      </w:r>
      <w:r w:rsidR="00F43918" w:rsidRPr="007F03EE">
        <w:rPr>
          <w:rFonts w:ascii="Times New Roman" w:hAnsi="Times New Roman" w:cs="Times New Roman"/>
          <w:sz w:val="22"/>
          <w:szCs w:val="22"/>
        </w:rPr>
        <w:t>Chamber</w:t>
      </w:r>
      <w:r w:rsidR="00290DCE" w:rsidRPr="007F03EE">
        <w:rPr>
          <w:rFonts w:ascii="Times New Roman" w:hAnsi="Times New Roman" w:cs="Times New Roman"/>
          <w:sz w:val="22"/>
          <w:szCs w:val="22"/>
        </w:rPr>
        <w:t xml:space="preserve"> of the Court of Cassation </w:t>
      </w:r>
    </w:p>
    <w:p w14:paraId="37610CD1" w14:textId="0CA81296" w:rsidR="00290DCE" w:rsidRPr="007F03EE" w:rsidRDefault="00F31F56" w:rsidP="00F43918">
      <w:pPr>
        <w:pStyle w:val="DipnotMetni"/>
        <w:numPr>
          <w:ilvl w:val="0"/>
          <w:numId w:val="5"/>
        </w:numPr>
        <w:jc w:val="both"/>
        <w:rPr>
          <w:rFonts w:ascii="Times New Roman" w:hAnsi="Times New Roman" w:cs="Times New Roman"/>
          <w:sz w:val="22"/>
          <w:szCs w:val="22"/>
        </w:rPr>
      </w:pPr>
      <w:r w:rsidRPr="007F03EE">
        <w:rPr>
          <w:rFonts w:ascii="Times New Roman" w:hAnsi="Times New Roman" w:cs="Times New Roman"/>
          <w:sz w:val="22"/>
          <w:szCs w:val="22"/>
        </w:rPr>
        <w:t xml:space="preserve">Decision </w:t>
      </w:r>
      <w:r w:rsidR="00F43918" w:rsidRPr="007F03EE">
        <w:rPr>
          <w:rFonts w:ascii="Times New Roman" w:hAnsi="Times New Roman" w:cs="Times New Roman"/>
          <w:sz w:val="22"/>
          <w:szCs w:val="22"/>
        </w:rPr>
        <w:t xml:space="preserve">E:2016/7484 K:2016/12055 </w:t>
      </w:r>
      <w:r w:rsidRPr="007F03EE">
        <w:rPr>
          <w:rFonts w:ascii="Times New Roman" w:hAnsi="Times New Roman" w:cs="Times New Roman"/>
          <w:sz w:val="22"/>
          <w:szCs w:val="22"/>
        </w:rPr>
        <w:t>1</w:t>
      </w:r>
      <w:r w:rsidR="00290DCE" w:rsidRPr="007F03EE">
        <w:rPr>
          <w:rFonts w:ascii="Times New Roman" w:hAnsi="Times New Roman" w:cs="Times New Roman"/>
          <w:sz w:val="22"/>
          <w:szCs w:val="22"/>
        </w:rPr>
        <w:t xml:space="preserve">2th Criminal </w:t>
      </w:r>
      <w:r w:rsidR="00F43918" w:rsidRPr="007F03EE">
        <w:rPr>
          <w:rFonts w:ascii="Times New Roman" w:hAnsi="Times New Roman" w:cs="Times New Roman"/>
          <w:sz w:val="22"/>
          <w:szCs w:val="22"/>
        </w:rPr>
        <w:t>Chamber</w:t>
      </w:r>
      <w:r w:rsidR="00290DCE" w:rsidRPr="007F03EE">
        <w:rPr>
          <w:rFonts w:ascii="Times New Roman" w:hAnsi="Times New Roman" w:cs="Times New Roman"/>
          <w:sz w:val="22"/>
          <w:szCs w:val="22"/>
        </w:rPr>
        <w:t xml:space="preserve"> of the Court of Cassation </w:t>
      </w:r>
    </w:p>
    <w:p w14:paraId="54D2221E" w14:textId="6D14DEAA" w:rsidR="00290DCE" w:rsidRPr="007F03EE" w:rsidRDefault="00F31F56" w:rsidP="009124AD">
      <w:pPr>
        <w:pStyle w:val="DipnotMetni"/>
        <w:numPr>
          <w:ilvl w:val="0"/>
          <w:numId w:val="5"/>
        </w:numPr>
        <w:jc w:val="both"/>
        <w:rPr>
          <w:rFonts w:ascii="Times New Roman" w:hAnsi="Times New Roman" w:cs="Times New Roman"/>
          <w:sz w:val="22"/>
          <w:szCs w:val="22"/>
        </w:rPr>
      </w:pPr>
      <w:r w:rsidRPr="007F03EE">
        <w:rPr>
          <w:rFonts w:ascii="Times New Roman" w:hAnsi="Times New Roman" w:cs="Times New Roman"/>
          <w:sz w:val="22"/>
          <w:szCs w:val="22"/>
        </w:rPr>
        <w:t xml:space="preserve">Decision </w:t>
      </w:r>
      <w:r w:rsidR="00F43918" w:rsidRPr="007F03EE">
        <w:rPr>
          <w:rFonts w:ascii="Times New Roman" w:hAnsi="Times New Roman" w:cs="Times New Roman"/>
          <w:sz w:val="22"/>
          <w:szCs w:val="22"/>
        </w:rPr>
        <w:t xml:space="preserve">E:2015/3962 K:2015/8623 </w:t>
      </w:r>
      <w:r w:rsidR="00290DCE" w:rsidRPr="007F03EE">
        <w:rPr>
          <w:rFonts w:ascii="Times New Roman" w:hAnsi="Times New Roman" w:cs="Times New Roman"/>
          <w:sz w:val="22"/>
          <w:szCs w:val="22"/>
        </w:rPr>
        <w:t xml:space="preserve">12th Criminal </w:t>
      </w:r>
      <w:r w:rsidR="00F43918" w:rsidRPr="007F03EE">
        <w:rPr>
          <w:rFonts w:ascii="Times New Roman" w:hAnsi="Times New Roman" w:cs="Times New Roman"/>
          <w:sz w:val="22"/>
          <w:szCs w:val="22"/>
        </w:rPr>
        <w:t xml:space="preserve">Chamber </w:t>
      </w:r>
      <w:r w:rsidR="00290DCE" w:rsidRPr="007F03EE">
        <w:rPr>
          <w:rFonts w:ascii="Times New Roman" w:hAnsi="Times New Roman" w:cs="Times New Roman"/>
          <w:sz w:val="22"/>
          <w:szCs w:val="22"/>
        </w:rPr>
        <w:t xml:space="preserve">of the Court of Cassation </w:t>
      </w:r>
    </w:p>
    <w:p w14:paraId="07D56AF5" w14:textId="05C17505" w:rsidR="00290DCE" w:rsidRPr="007F03EE" w:rsidRDefault="00F31F56" w:rsidP="00F43918">
      <w:pPr>
        <w:pStyle w:val="DipnotMetni"/>
        <w:numPr>
          <w:ilvl w:val="0"/>
          <w:numId w:val="5"/>
        </w:numPr>
        <w:jc w:val="both"/>
        <w:rPr>
          <w:rFonts w:ascii="Times New Roman" w:hAnsi="Times New Roman" w:cs="Times New Roman"/>
          <w:sz w:val="22"/>
          <w:szCs w:val="22"/>
        </w:rPr>
      </w:pPr>
      <w:r w:rsidRPr="007F03EE">
        <w:rPr>
          <w:rFonts w:ascii="Times New Roman" w:hAnsi="Times New Roman" w:cs="Times New Roman"/>
          <w:sz w:val="22"/>
          <w:szCs w:val="22"/>
        </w:rPr>
        <w:t xml:space="preserve">Decision </w:t>
      </w:r>
      <w:r w:rsidR="00F43918" w:rsidRPr="007F03EE">
        <w:rPr>
          <w:rFonts w:ascii="Times New Roman" w:hAnsi="Times New Roman" w:cs="Times New Roman"/>
          <w:sz w:val="22"/>
          <w:szCs w:val="22"/>
        </w:rPr>
        <w:t xml:space="preserve">E:2012/20408 K:2012/19875 </w:t>
      </w:r>
      <w:r w:rsidR="00290DCE" w:rsidRPr="007F03EE">
        <w:rPr>
          <w:rFonts w:ascii="Times New Roman" w:hAnsi="Times New Roman" w:cs="Times New Roman"/>
          <w:sz w:val="22"/>
          <w:szCs w:val="22"/>
        </w:rPr>
        <w:t xml:space="preserve">12th Criminal </w:t>
      </w:r>
      <w:r w:rsidR="00F43918" w:rsidRPr="007F03EE">
        <w:rPr>
          <w:rFonts w:ascii="Times New Roman" w:hAnsi="Times New Roman" w:cs="Times New Roman"/>
          <w:sz w:val="22"/>
          <w:szCs w:val="22"/>
        </w:rPr>
        <w:t xml:space="preserve">Chamber </w:t>
      </w:r>
      <w:r w:rsidR="00290DCE" w:rsidRPr="007F03EE">
        <w:rPr>
          <w:rFonts w:ascii="Times New Roman" w:hAnsi="Times New Roman" w:cs="Times New Roman"/>
          <w:sz w:val="22"/>
          <w:szCs w:val="22"/>
        </w:rPr>
        <w:t xml:space="preserve">of the Court of Cassation </w:t>
      </w:r>
    </w:p>
    <w:p w14:paraId="60C679D3" w14:textId="77777777" w:rsidR="00A92283" w:rsidRPr="007F03EE" w:rsidRDefault="002361BE" w:rsidP="009124AD">
      <w:pPr>
        <w:pStyle w:val="DipnotMetni"/>
        <w:numPr>
          <w:ilvl w:val="0"/>
          <w:numId w:val="5"/>
        </w:numPr>
        <w:jc w:val="both"/>
        <w:rPr>
          <w:rFonts w:ascii="Times New Roman" w:hAnsi="Times New Roman" w:cs="Times New Roman"/>
          <w:bCs/>
          <w:sz w:val="22"/>
          <w:szCs w:val="22"/>
        </w:rPr>
      </w:pPr>
      <w:r w:rsidRPr="007F03EE">
        <w:rPr>
          <w:rFonts w:ascii="Times New Roman" w:hAnsi="Times New Roman" w:cs="Times New Roman"/>
          <w:sz w:val="22"/>
          <w:szCs w:val="22"/>
        </w:rPr>
        <w:t xml:space="preserve">Decision E:2019/10051 K: 2021/5532, 12th Criminal Chamber of the </w:t>
      </w:r>
      <w:r w:rsidR="00A92283" w:rsidRPr="007F03EE">
        <w:rPr>
          <w:rFonts w:ascii="Times New Roman" w:hAnsi="Times New Roman" w:cs="Times New Roman"/>
          <w:sz w:val="22"/>
          <w:szCs w:val="22"/>
          <w:shd w:val="clear" w:color="auto" w:fill="FFFFFF"/>
        </w:rPr>
        <w:t>Court of Cassation</w:t>
      </w:r>
    </w:p>
    <w:p w14:paraId="07437B5F" w14:textId="77777777" w:rsidR="00A92283" w:rsidRPr="007F03EE" w:rsidRDefault="002361BE" w:rsidP="009124AD">
      <w:pPr>
        <w:pStyle w:val="DipnotMetni"/>
        <w:numPr>
          <w:ilvl w:val="0"/>
          <w:numId w:val="5"/>
        </w:numPr>
        <w:jc w:val="both"/>
        <w:rPr>
          <w:rFonts w:ascii="Times New Roman" w:hAnsi="Times New Roman" w:cs="Times New Roman"/>
          <w:bCs/>
          <w:sz w:val="22"/>
          <w:szCs w:val="22"/>
        </w:rPr>
      </w:pPr>
      <w:r w:rsidRPr="007F03EE">
        <w:rPr>
          <w:rFonts w:ascii="Times New Roman" w:hAnsi="Times New Roman" w:cs="Times New Roman"/>
          <w:sz w:val="22"/>
          <w:szCs w:val="22"/>
        </w:rPr>
        <w:t xml:space="preserve">Decision E:2020/10537 K:2021/5360, 12th Criminal Chamber of the </w:t>
      </w:r>
      <w:r w:rsidR="00A92283" w:rsidRPr="007F03EE">
        <w:rPr>
          <w:rFonts w:ascii="Times New Roman" w:hAnsi="Times New Roman" w:cs="Times New Roman"/>
          <w:sz w:val="22"/>
          <w:szCs w:val="22"/>
          <w:shd w:val="clear" w:color="auto" w:fill="FFFFFF"/>
        </w:rPr>
        <w:t>Court of Cassation</w:t>
      </w:r>
      <w:r w:rsidR="00A92283" w:rsidRPr="007F03EE">
        <w:rPr>
          <w:rFonts w:ascii="Times New Roman" w:hAnsi="Times New Roman" w:cs="Times New Roman"/>
          <w:sz w:val="22"/>
          <w:szCs w:val="22"/>
        </w:rPr>
        <w:t xml:space="preserve"> </w:t>
      </w:r>
    </w:p>
    <w:p w14:paraId="795AE5CD" w14:textId="78177BEE" w:rsidR="002361BE" w:rsidRPr="007F03EE" w:rsidRDefault="002361BE" w:rsidP="009124AD">
      <w:pPr>
        <w:pStyle w:val="DipnotMetni"/>
        <w:numPr>
          <w:ilvl w:val="0"/>
          <w:numId w:val="5"/>
        </w:numPr>
        <w:jc w:val="both"/>
        <w:rPr>
          <w:rFonts w:ascii="Times New Roman" w:hAnsi="Times New Roman" w:cs="Times New Roman"/>
          <w:bCs/>
          <w:sz w:val="22"/>
          <w:szCs w:val="22"/>
        </w:rPr>
      </w:pPr>
      <w:r w:rsidRPr="007F03EE">
        <w:rPr>
          <w:rFonts w:ascii="Times New Roman" w:hAnsi="Times New Roman" w:cs="Times New Roman"/>
          <w:sz w:val="22"/>
          <w:szCs w:val="22"/>
        </w:rPr>
        <w:t xml:space="preserve">Decision E:2021/461 K:2021/3368, 12th Criminal Chamber of the </w:t>
      </w:r>
      <w:r w:rsidR="00A92283" w:rsidRPr="007F03EE">
        <w:rPr>
          <w:rFonts w:ascii="Times New Roman" w:hAnsi="Times New Roman" w:cs="Times New Roman"/>
          <w:sz w:val="22"/>
          <w:szCs w:val="22"/>
          <w:shd w:val="clear" w:color="auto" w:fill="FFFFFF"/>
        </w:rPr>
        <w:t>Court of Cassation</w:t>
      </w:r>
    </w:p>
    <w:p w14:paraId="369F0835" w14:textId="169CEB21" w:rsidR="002361BE" w:rsidRPr="007F03EE" w:rsidRDefault="002361BE" w:rsidP="009124AD">
      <w:pPr>
        <w:pStyle w:val="DipnotMetni"/>
        <w:numPr>
          <w:ilvl w:val="0"/>
          <w:numId w:val="5"/>
        </w:numPr>
        <w:jc w:val="both"/>
        <w:rPr>
          <w:rFonts w:ascii="Times New Roman" w:hAnsi="Times New Roman" w:cs="Times New Roman"/>
          <w:bCs/>
          <w:sz w:val="22"/>
          <w:szCs w:val="22"/>
        </w:rPr>
      </w:pPr>
      <w:r w:rsidRPr="007F03EE">
        <w:rPr>
          <w:rFonts w:ascii="Times New Roman" w:hAnsi="Times New Roman" w:cs="Times New Roman"/>
          <w:sz w:val="22"/>
          <w:szCs w:val="22"/>
        </w:rPr>
        <w:t xml:space="preserve">Decision E:2019/8075 K:2020/2909, 12th Criminal Chamber of the </w:t>
      </w:r>
      <w:r w:rsidR="00A92283" w:rsidRPr="007F03EE">
        <w:rPr>
          <w:rFonts w:ascii="Times New Roman" w:hAnsi="Times New Roman" w:cs="Times New Roman"/>
          <w:sz w:val="22"/>
          <w:szCs w:val="22"/>
          <w:shd w:val="clear" w:color="auto" w:fill="FFFFFF"/>
        </w:rPr>
        <w:t>Court of Cassation</w:t>
      </w:r>
    </w:p>
    <w:p w14:paraId="4A68DE32" w14:textId="02B58CFF" w:rsidR="002361BE" w:rsidRPr="007F03EE" w:rsidRDefault="002361BE" w:rsidP="009124AD">
      <w:pPr>
        <w:pStyle w:val="DipnotMetni"/>
        <w:numPr>
          <w:ilvl w:val="0"/>
          <w:numId w:val="5"/>
        </w:numPr>
        <w:jc w:val="both"/>
        <w:rPr>
          <w:rFonts w:ascii="Times New Roman" w:hAnsi="Times New Roman" w:cs="Times New Roman"/>
          <w:bCs/>
          <w:sz w:val="22"/>
          <w:szCs w:val="22"/>
        </w:rPr>
      </w:pPr>
      <w:r w:rsidRPr="007F03EE">
        <w:rPr>
          <w:rFonts w:ascii="Times New Roman" w:hAnsi="Times New Roman" w:cs="Times New Roman"/>
          <w:sz w:val="22"/>
          <w:szCs w:val="22"/>
        </w:rPr>
        <w:t xml:space="preserve">Decision E:2019/5235 K:2020/1973, 12th Criminal Chamber of the </w:t>
      </w:r>
      <w:r w:rsidR="00A92283" w:rsidRPr="007F03EE">
        <w:rPr>
          <w:rFonts w:ascii="Times New Roman" w:hAnsi="Times New Roman" w:cs="Times New Roman"/>
          <w:sz w:val="22"/>
          <w:szCs w:val="22"/>
          <w:shd w:val="clear" w:color="auto" w:fill="FFFFFF"/>
        </w:rPr>
        <w:t>Court of Cassation</w:t>
      </w:r>
    </w:p>
    <w:p w14:paraId="3C2A0D54" w14:textId="77777777" w:rsidR="00A92283" w:rsidRPr="007F03EE" w:rsidRDefault="002361BE" w:rsidP="009124AD">
      <w:pPr>
        <w:pStyle w:val="DipnotMetni"/>
        <w:numPr>
          <w:ilvl w:val="0"/>
          <w:numId w:val="5"/>
        </w:numPr>
        <w:jc w:val="both"/>
        <w:rPr>
          <w:rFonts w:ascii="Times New Roman" w:hAnsi="Times New Roman" w:cs="Times New Roman"/>
          <w:bCs/>
          <w:sz w:val="22"/>
          <w:szCs w:val="22"/>
        </w:rPr>
      </w:pPr>
      <w:r w:rsidRPr="007F03EE">
        <w:rPr>
          <w:rFonts w:ascii="Times New Roman" w:hAnsi="Times New Roman" w:cs="Times New Roman"/>
          <w:sz w:val="22"/>
          <w:szCs w:val="22"/>
        </w:rPr>
        <w:t xml:space="preserve">Decision E:2019/13238 K:2020/234, 12th Criminal Chamber of the </w:t>
      </w:r>
      <w:r w:rsidR="00A92283" w:rsidRPr="007F03EE">
        <w:rPr>
          <w:rFonts w:ascii="Times New Roman" w:hAnsi="Times New Roman" w:cs="Times New Roman"/>
          <w:sz w:val="22"/>
          <w:szCs w:val="22"/>
          <w:shd w:val="clear" w:color="auto" w:fill="FFFFFF"/>
        </w:rPr>
        <w:t>Court of Cassation</w:t>
      </w:r>
      <w:r w:rsidR="00A92283" w:rsidRPr="007F03EE">
        <w:rPr>
          <w:rFonts w:ascii="Times New Roman" w:hAnsi="Times New Roman" w:cs="Times New Roman"/>
          <w:sz w:val="22"/>
          <w:szCs w:val="22"/>
        </w:rPr>
        <w:t xml:space="preserve"> </w:t>
      </w:r>
    </w:p>
    <w:p w14:paraId="5914B44A" w14:textId="77777777" w:rsidR="00F31F56" w:rsidRPr="007F03EE" w:rsidRDefault="00F31F56" w:rsidP="00F31F56">
      <w:pPr>
        <w:pStyle w:val="DipnotMetni"/>
        <w:numPr>
          <w:ilvl w:val="0"/>
          <w:numId w:val="5"/>
        </w:numPr>
        <w:jc w:val="both"/>
        <w:rPr>
          <w:rFonts w:ascii="Times New Roman" w:hAnsi="Times New Roman" w:cs="Times New Roman"/>
          <w:bCs/>
          <w:sz w:val="22"/>
          <w:szCs w:val="22"/>
        </w:rPr>
      </w:pPr>
      <w:r w:rsidRPr="007F03EE">
        <w:rPr>
          <w:rFonts w:ascii="Times New Roman" w:hAnsi="Times New Roman" w:cs="Times New Roman"/>
          <w:sz w:val="22"/>
          <w:szCs w:val="22"/>
        </w:rPr>
        <w:t>D</w:t>
      </w:r>
      <w:r w:rsidR="00290DCE" w:rsidRPr="007F03EE">
        <w:rPr>
          <w:rFonts w:ascii="Times New Roman" w:hAnsi="Times New Roman" w:cs="Times New Roman"/>
          <w:sz w:val="22"/>
          <w:szCs w:val="22"/>
        </w:rPr>
        <w:t xml:space="preserve">ecision </w:t>
      </w:r>
      <w:r w:rsidRPr="007F03EE">
        <w:rPr>
          <w:rFonts w:ascii="Times New Roman" w:hAnsi="Times New Roman" w:cs="Times New Roman"/>
          <w:sz w:val="22"/>
          <w:szCs w:val="22"/>
        </w:rPr>
        <w:t xml:space="preserve">E:2021/1364 K:2021/5173 </w:t>
      </w:r>
      <w:r w:rsidR="00290DCE" w:rsidRPr="007F03EE">
        <w:rPr>
          <w:rFonts w:ascii="Times New Roman" w:hAnsi="Times New Roman" w:cs="Times New Roman"/>
          <w:sz w:val="22"/>
          <w:szCs w:val="22"/>
        </w:rPr>
        <w:t xml:space="preserve"> </w:t>
      </w:r>
      <w:r w:rsidRPr="007F03EE">
        <w:rPr>
          <w:rFonts w:ascii="Times New Roman" w:hAnsi="Times New Roman" w:cs="Times New Roman"/>
          <w:sz w:val="22"/>
          <w:szCs w:val="22"/>
        </w:rPr>
        <w:t xml:space="preserve">12th Criminal Chamber of the </w:t>
      </w:r>
      <w:r w:rsidRPr="007F03EE">
        <w:rPr>
          <w:rFonts w:ascii="Times New Roman" w:hAnsi="Times New Roman" w:cs="Times New Roman"/>
          <w:sz w:val="22"/>
          <w:szCs w:val="22"/>
          <w:shd w:val="clear" w:color="auto" w:fill="FFFFFF"/>
        </w:rPr>
        <w:t>Court of Cassation</w:t>
      </w:r>
      <w:r w:rsidRPr="007F03EE">
        <w:rPr>
          <w:rFonts w:ascii="Times New Roman" w:hAnsi="Times New Roman" w:cs="Times New Roman"/>
          <w:sz w:val="22"/>
          <w:szCs w:val="22"/>
        </w:rPr>
        <w:t xml:space="preserve"> </w:t>
      </w:r>
    </w:p>
    <w:p w14:paraId="0C6ED281" w14:textId="13E4F4BA" w:rsidR="00290DCE" w:rsidRPr="007F03EE" w:rsidRDefault="00F31F56" w:rsidP="00F31F56">
      <w:pPr>
        <w:pStyle w:val="DipnotMetni"/>
        <w:numPr>
          <w:ilvl w:val="0"/>
          <w:numId w:val="5"/>
        </w:numPr>
        <w:jc w:val="both"/>
        <w:rPr>
          <w:rFonts w:ascii="Times New Roman" w:hAnsi="Times New Roman" w:cs="Times New Roman"/>
          <w:bCs/>
          <w:sz w:val="22"/>
          <w:szCs w:val="22"/>
        </w:rPr>
      </w:pPr>
      <w:r w:rsidRPr="007F03EE">
        <w:rPr>
          <w:rFonts w:ascii="Times New Roman" w:hAnsi="Times New Roman" w:cs="Times New Roman"/>
          <w:sz w:val="22"/>
          <w:szCs w:val="22"/>
        </w:rPr>
        <w:t>D</w:t>
      </w:r>
      <w:r w:rsidR="00290DCE" w:rsidRPr="007F03EE">
        <w:rPr>
          <w:rFonts w:ascii="Times New Roman" w:hAnsi="Times New Roman" w:cs="Times New Roman"/>
          <w:sz w:val="22"/>
          <w:szCs w:val="22"/>
        </w:rPr>
        <w:t xml:space="preserve">ecision E:2017/10551 K:2021/177 </w:t>
      </w:r>
      <w:r w:rsidRPr="007F03EE">
        <w:rPr>
          <w:rFonts w:ascii="Times New Roman" w:hAnsi="Times New Roman" w:cs="Times New Roman"/>
          <w:sz w:val="22"/>
          <w:szCs w:val="22"/>
        </w:rPr>
        <w:t xml:space="preserve">12th Criminal Chamber of the </w:t>
      </w:r>
      <w:r w:rsidRPr="007F03EE">
        <w:rPr>
          <w:rFonts w:ascii="Times New Roman" w:hAnsi="Times New Roman" w:cs="Times New Roman"/>
          <w:sz w:val="22"/>
          <w:szCs w:val="22"/>
          <w:shd w:val="clear" w:color="auto" w:fill="FFFFFF"/>
        </w:rPr>
        <w:t>Court of Cassation</w:t>
      </w:r>
      <w:r w:rsidRPr="007F03EE">
        <w:rPr>
          <w:rFonts w:ascii="Times New Roman" w:hAnsi="Times New Roman" w:cs="Times New Roman"/>
          <w:sz w:val="22"/>
          <w:szCs w:val="22"/>
        </w:rPr>
        <w:t xml:space="preserve"> </w:t>
      </w:r>
    </w:p>
    <w:p w14:paraId="6BFA2C64" w14:textId="77777777" w:rsidR="00F31F56" w:rsidRPr="007F03EE" w:rsidRDefault="00F31F56" w:rsidP="00F31F56">
      <w:pPr>
        <w:pStyle w:val="DipnotMetni"/>
        <w:numPr>
          <w:ilvl w:val="0"/>
          <w:numId w:val="5"/>
        </w:numPr>
        <w:jc w:val="both"/>
        <w:rPr>
          <w:rFonts w:ascii="Times New Roman" w:hAnsi="Times New Roman" w:cs="Times New Roman"/>
          <w:bCs/>
          <w:sz w:val="22"/>
          <w:szCs w:val="22"/>
        </w:rPr>
      </w:pPr>
      <w:r w:rsidRPr="007F03EE">
        <w:rPr>
          <w:rFonts w:ascii="Times New Roman" w:hAnsi="Times New Roman" w:cs="Times New Roman"/>
          <w:sz w:val="22"/>
          <w:szCs w:val="22"/>
        </w:rPr>
        <w:t>D</w:t>
      </w:r>
      <w:r w:rsidR="00290DCE" w:rsidRPr="007F03EE">
        <w:rPr>
          <w:rFonts w:ascii="Times New Roman" w:hAnsi="Times New Roman" w:cs="Times New Roman"/>
          <w:sz w:val="22"/>
          <w:szCs w:val="22"/>
        </w:rPr>
        <w:t xml:space="preserve">ecision E:2019/13900 K:2020/5228 </w:t>
      </w:r>
      <w:r w:rsidRPr="007F03EE">
        <w:rPr>
          <w:rFonts w:ascii="Times New Roman" w:hAnsi="Times New Roman" w:cs="Times New Roman"/>
          <w:sz w:val="22"/>
          <w:szCs w:val="22"/>
        </w:rPr>
        <w:t xml:space="preserve">12th Criminal Chamber of the </w:t>
      </w:r>
      <w:r w:rsidRPr="007F03EE">
        <w:rPr>
          <w:rFonts w:ascii="Times New Roman" w:hAnsi="Times New Roman" w:cs="Times New Roman"/>
          <w:sz w:val="22"/>
          <w:szCs w:val="22"/>
          <w:shd w:val="clear" w:color="auto" w:fill="FFFFFF"/>
        </w:rPr>
        <w:t>Court of Cassation</w:t>
      </w:r>
      <w:r w:rsidRPr="007F03EE">
        <w:rPr>
          <w:rFonts w:ascii="Times New Roman" w:hAnsi="Times New Roman" w:cs="Times New Roman"/>
          <w:sz w:val="22"/>
          <w:szCs w:val="22"/>
        </w:rPr>
        <w:t xml:space="preserve"> </w:t>
      </w:r>
    </w:p>
    <w:p w14:paraId="2FB19DA5" w14:textId="5A6190BB" w:rsidR="00283900" w:rsidRPr="00F31F56" w:rsidRDefault="00283900" w:rsidP="00F31F56">
      <w:pPr>
        <w:pStyle w:val="DipnotMetni"/>
        <w:ind w:left="720"/>
        <w:jc w:val="both"/>
        <w:rPr>
          <w:rFonts w:ascii="Times New Roman" w:hAnsi="Times New Roman" w:cs="Times New Roman"/>
        </w:rPr>
      </w:pPr>
    </w:p>
    <w:sectPr w:rsidR="00283900" w:rsidRPr="00F31F56" w:rsidSect="00D84DED">
      <w:footerReference w:type="default" r:id="rId13"/>
      <w:pgSz w:w="11900" w:h="16840"/>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47618E3"/>
  <w15:commentEx w15:done="0" w15:paraId="33188014"/>
  <w15:commentEx w15:done="0" w15:paraId="0A60985F"/>
  <w15:commentEx w15:done="0" w15:paraId="0AC6F6C7"/>
  <w15:commentEx w15:done="0" w15:paraId="0D3E96B6"/>
  <w15:commentEx w15:done="0" w15:paraId="659F5D37"/>
  <w15:commentEx w15:done="0" w15:paraId="6A5A1AC9"/>
  <w15:commentEx w15:done="0" w15:paraId="7B702B19"/>
  <w15:commentEx w15:done="0" w15:paraId="7F71D148"/>
  <w15:commentEx w15:done="0" w15:paraId="4AE83981"/>
  <w15:commentEx w15:done="0" w15:paraId="3D48CA62"/>
  <w15:commentEx w15:done="0" w15:paraId="095ED144"/>
  <w15:commentEx w15:done="0" w15:paraId="36D6BA27"/>
  <w15:commentEx w15:done="0" w15:paraId="13F858FE"/>
  <w15:commentEx w15:done="0" w15:paraId="56A8F3C4"/>
  <w15:commentEx w15:done="0" w15:paraId="2A504BCC"/>
  <w15:commentEx w15:done="0" w15:paraId="00555F9C"/>
  <w15:commentEx w15:done="0" w15:paraId="198A1A80"/>
  <w15:commentEx w15:done="0" w15:paraId="0B358629"/>
  <w15:commentEx w15:done="0" w15:paraId="092D7964"/>
  <w15:commentEx w15:done="0" w15:paraId="56C66068"/>
  <w15:commentEx w15:done="0" w15:paraId="2D497CCA"/>
  <w15:commentEx w15:done="0" w15:paraId="06FFA48B"/>
  <w15:commentEx w15:done="0" w15:paraId="6337E75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40ABFA" w16cex:dateUtc="2021-11-18T09:39:00Z"/>
  <w16cex:commentExtensible w16cex:durableId="2540AA96" w16cex:dateUtc="2021-11-18T09:33:00Z"/>
  <w16cex:commentExtensible w16cex:durableId="2540AB1D" w16cex:dateUtc="2021-11-18T09:36:00Z"/>
  <w16cex:commentExtensible w16cex:durableId="2540AFBD" w16cex:dateUtc="2021-11-18T09:55:00Z"/>
  <w16cex:commentExtensible w16cex:durableId="2540B4C7" w16cex:dateUtc="2021-11-18T10:17:00Z"/>
  <w16cex:commentExtensible w16cex:durableId="2540B7D9" w16cex:dateUtc="2021-11-18T10:30:00Z"/>
  <w16cex:commentExtensible w16cex:durableId="2540B74F" w16cex:dateUtc="2021-11-18T10:28:00Z"/>
  <w16cex:commentExtensible w16cex:durableId="2540B950" w16cex:dateUtc="2021-11-18T10:36:00Z"/>
  <w16cex:commentExtensible w16cex:durableId="2540B9F0" w16cex:dateUtc="2021-11-18T10:39:00Z"/>
  <w16cex:commentExtensible w16cex:durableId="30640758" w16cex:dateUtc="2021-11-24T16:38:00Z"/>
  <w16cex:commentExtensible w16cex:durableId="0B48A0AB" w16cex:dateUtc="2021-11-24T16:27:00Z"/>
  <w16cex:commentExtensible w16cex:durableId="7BDC5DEC" w16cex:dateUtc="2021-11-24T16:30:00Z"/>
  <w16cex:commentExtensible w16cex:durableId="0CFE48D1" w16cex:dateUtc="2021-11-24T16:48:00Z"/>
  <w16cex:commentExtensible w16cex:durableId="61224CD5" w16cex:dateUtc="2021-11-24T16:50:00Z"/>
  <w16cex:commentExtensible w16cex:durableId="75E9E596" w16cex:dateUtc="2021-11-24T17:00:00Z"/>
  <w16cex:commentExtensible w16cex:durableId="0051E78E" w16cex:dateUtc="2021-11-24T17:17:00Z"/>
  <w16cex:commentExtensible w16cex:durableId="41BADCD6" w16cex:dateUtc="2021-11-24T17:23:00Z"/>
  <w16cex:commentExtensible w16cex:durableId="55A9125E" w16cex:dateUtc="2021-11-24T17:24:00Z"/>
  <w16cex:commentExtensible w16cex:durableId="30ED1BF0" w16cex:dateUtc="2021-11-24T17:50:00Z"/>
  <w16cex:commentExtensible w16cex:durableId="0C993962" w16cex:dateUtc="2021-11-25T10:05:00Z"/>
  <w16cex:commentExtensible w16cex:durableId="4CFB7F5B" w16cex:dateUtc="2021-11-24T18:02:00Z"/>
  <w16cex:commentExtensible w16cex:durableId="46D8DD7A" w16cex:dateUtc="2021-11-24T18:09:00Z"/>
  <w16cex:commentExtensible w16cex:durableId="6349D8E5" w16cex:dateUtc="2021-11-24T18:17:00Z"/>
  <w16cex:commentExtensible w16cex:durableId="546EAFCE" w16cex:dateUtc="2021-11-25T10:54:44.672Z"/>
</w16cex:commentsExtensible>
</file>

<file path=word/commentsIds.xml><?xml version="1.0" encoding="utf-8"?>
<w16cid:commentsIds xmlns:mc="http://schemas.openxmlformats.org/markup-compatibility/2006" xmlns:w16cid="http://schemas.microsoft.com/office/word/2016/wordml/cid" mc:Ignorable="w16cid">
  <w16cid:commentId w16cid:paraId="547618E3" w16cid:durableId="2540ABFA"/>
  <w16cid:commentId w16cid:paraId="33188014" w16cid:durableId="2540AA96"/>
  <w16cid:commentId w16cid:paraId="0A60985F" w16cid:durableId="2540AB1D"/>
  <w16cid:commentId w16cid:paraId="0AC6F6C7" w16cid:durableId="2540AFBD"/>
  <w16cid:commentId w16cid:paraId="0D3E96B6" w16cid:durableId="2540B4C7"/>
  <w16cid:commentId w16cid:paraId="659F5D37" w16cid:durableId="2540B7D9"/>
  <w16cid:commentId w16cid:paraId="6A5A1AC9" w16cid:durableId="2540B74F"/>
  <w16cid:commentId w16cid:paraId="7B702B19" w16cid:durableId="2540B950"/>
  <w16cid:commentId w16cid:paraId="7F71D148" w16cid:durableId="2540B9F0"/>
  <w16cid:commentId w16cid:paraId="4AE83981" w16cid:durableId="30640758"/>
  <w16cid:commentId w16cid:paraId="3D48CA62" w16cid:durableId="0B48A0AB"/>
  <w16cid:commentId w16cid:paraId="095ED144" w16cid:durableId="7BDC5DEC"/>
  <w16cid:commentId w16cid:paraId="36D6BA27" w16cid:durableId="0CFE48D1"/>
  <w16cid:commentId w16cid:paraId="13F858FE" w16cid:durableId="61224CD5"/>
  <w16cid:commentId w16cid:paraId="56A8F3C4" w16cid:durableId="75E9E596"/>
  <w16cid:commentId w16cid:paraId="2A504BCC" w16cid:durableId="0051E78E"/>
  <w16cid:commentId w16cid:paraId="00555F9C" w16cid:durableId="41BADCD6"/>
  <w16cid:commentId w16cid:paraId="198A1A80" w16cid:durableId="55A9125E"/>
  <w16cid:commentId w16cid:paraId="0B358629" w16cid:durableId="30ED1BF0"/>
  <w16cid:commentId w16cid:paraId="092D7964" w16cid:durableId="0C993962"/>
  <w16cid:commentId w16cid:paraId="56C66068" w16cid:durableId="4CFB7F5B"/>
  <w16cid:commentId w16cid:paraId="2D497CCA" w16cid:durableId="46D8DD7A"/>
  <w16cid:commentId w16cid:paraId="06FFA48B" w16cid:durableId="6349D8E5"/>
  <w16cid:commentId w16cid:paraId="6337E75F" w16cid:durableId="546EAF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ACEE0" w14:textId="77777777" w:rsidR="00F338AB" w:rsidRDefault="00F338AB" w:rsidP="00EF66FA">
      <w:r>
        <w:separator/>
      </w:r>
    </w:p>
  </w:endnote>
  <w:endnote w:type="continuationSeparator" w:id="0">
    <w:p w14:paraId="3CDD72CA" w14:textId="77777777" w:rsidR="00F338AB" w:rsidRDefault="00F338AB" w:rsidP="00EF66FA">
      <w:r>
        <w:continuationSeparator/>
      </w:r>
    </w:p>
  </w:endnote>
  <w:endnote w:type="continuationNotice" w:id="1">
    <w:p w14:paraId="35A43E68" w14:textId="77777777" w:rsidR="00F338AB" w:rsidRDefault="00F3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218274"/>
      <w:docPartObj>
        <w:docPartGallery w:val="Page Numbers (Bottom of Page)"/>
        <w:docPartUnique/>
      </w:docPartObj>
    </w:sdtPr>
    <w:sdtEndPr/>
    <w:sdtContent>
      <w:p w14:paraId="035930E1" w14:textId="29393F6B" w:rsidR="006000C9" w:rsidRDefault="006000C9">
        <w:pPr>
          <w:pStyle w:val="Altbilgi"/>
          <w:jc w:val="center"/>
        </w:pPr>
        <w:r>
          <w:fldChar w:fldCharType="begin"/>
        </w:r>
        <w:r>
          <w:instrText>PAGE   \* MERGEFORMAT</w:instrText>
        </w:r>
        <w:r>
          <w:fldChar w:fldCharType="separate"/>
        </w:r>
        <w:r w:rsidR="00030292" w:rsidRPr="00030292">
          <w:rPr>
            <w:noProof/>
            <w:lang w:val="tr-TR"/>
          </w:rPr>
          <w:t>2</w:t>
        </w:r>
        <w:r>
          <w:fldChar w:fldCharType="end"/>
        </w:r>
      </w:p>
    </w:sdtContent>
  </w:sdt>
  <w:p w14:paraId="3AA1BAF6" w14:textId="77777777" w:rsidR="006000C9" w:rsidRDefault="006000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59596" w14:textId="77777777" w:rsidR="00F338AB" w:rsidRDefault="00F338AB" w:rsidP="00EF66FA">
      <w:r>
        <w:separator/>
      </w:r>
    </w:p>
  </w:footnote>
  <w:footnote w:type="continuationSeparator" w:id="0">
    <w:p w14:paraId="3133DDD6" w14:textId="77777777" w:rsidR="00F338AB" w:rsidRDefault="00F338AB" w:rsidP="00EF66FA">
      <w:r>
        <w:continuationSeparator/>
      </w:r>
    </w:p>
  </w:footnote>
  <w:footnote w:type="continuationNotice" w:id="1">
    <w:p w14:paraId="7007DA09" w14:textId="77777777" w:rsidR="00F338AB" w:rsidRDefault="00F338AB"/>
  </w:footnote>
  <w:footnote w:id="2">
    <w:p w14:paraId="3310BD37" w14:textId="77777777" w:rsidR="00F54E7B" w:rsidRPr="009124AD" w:rsidRDefault="00F54E7B" w:rsidP="009124AD">
      <w:pPr>
        <w:pStyle w:val="DipnotMetni"/>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See the web page of the Association: </w:t>
      </w:r>
      <w:hyperlink r:id="rId1" w:history="1">
        <w:r w:rsidRPr="009124AD">
          <w:rPr>
            <w:rStyle w:val="Kpr"/>
            <w:rFonts w:ascii="Calibri" w:hAnsi="Calibri" w:cs="Times New Roman"/>
            <w:color w:val="auto"/>
            <w:sz w:val="20"/>
            <w:szCs w:val="20"/>
          </w:rPr>
          <w:t>https://yasambellekozgurluk.org/</w:t>
        </w:r>
      </w:hyperlink>
      <w:r w:rsidRPr="009124AD">
        <w:rPr>
          <w:rFonts w:ascii="Calibri" w:hAnsi="Calibri" w:cs="Times New Roman"/>
          <w:sz w:val="20"/>
          <w:szCs w:val="20"/>
        </w:rPr>
        <w:t xml:space="preserve">  </w:t>
      </w:r>
    </w:p>
  </w:footnote>
  <w:footnote w:id="3">
    <w:p w14:paraId="2437B548" w14:textId="77777777" w:rsidR="00F54E7B" w:rsidRPr="009124AD" w:rsidRDefault="00F54E7B" w:rsidP="009124AD">
      <w:pPr>
        <w:pStyle w:val="DipnotMetni"/>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hyperlink r:id="rId2" w:history="1">
        <w:r w:rsidRPr="009124AD">
          <w:rPr>
            <w:rStyle w:val="Kpr"/>
            <w:rFonts w:ascii="Calibri" w:hAnsi="Calibri" w:cs="Times New Roman"/>
            <w:color w:val="auto"/>
            <w:sz w:val="20"/>
            <w:szCs w:val="20"/>
          </w:rPr>
          <w:t>https://adlisicil.adalet.gov.tr/Resimler/SayfaDokuman/1692021162011adalet_ist-2020.pdf</w:t>
        </w:r>
      </w:hyperlink>
    </w:p>
  </w:footnote>
  <w:footnote w:id="4">
    <w:p w14:paraId="08325DE1" w14:textId="708E3F1E" w:rsidR="00F54E7B" w:rsidRPr="009124AD" w:rsidRDefault="00F54E7B" w:rsidP="004B61D7">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r w:rsidRPr="009124AD">
        <w:rPr>
          <w:rFonts w:ascii="Calibri" w:hAnsi="Calibri" w:cs="Times New Roman"/>
          <w:sz w:val="20"/>
          <w:szCs w:val="20"/>
        </w:rPr>
        <w:t>Gökkaya</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Durmuş</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Türkiye'de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kamu</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özel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ortaklığı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bağlamında</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şehir</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hastanelerinin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değerlendirilmesi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Nitel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bir</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araştırma</w:t>
      </w:r>
      <w:proofErr w:type="spellEnd"/>
      <w:r w:rsidRPr="009124AD">
        <w:rPr>
          <w:rFonts w:ascii="Calibri" w:hAnsi="Calibri" w:cs="Times New Roman"/>
          <w:sz w:val="20"/>
          <w:szCs w:val="20"/>
        </w:rPr>
        <w:t xml:space="preserve"> [Evaluation of city hospitals in the context of public private partnership in Turkey: A qualitative research], PhD The</w:t>
      </w:r>
      <w:r w:rsidR="00011D81">
        <w:rPr>
          <w:rFonts w:ascii="Calibri" w:hAnsi="Calibri" w:cs="Times New Roman"/>
          <w:sz w:val="20"/>
          <w:szCs w:val="20"/>
        </w:rPr>
        <w:t xml:space="preserve">sis, </w:t>
      </w:r>
      <w:proofErr w:type="spellStart"/>
      <w:r w:rsidR="00011D81">
        <w:rPr>
          <w:rFonts w:ascii="Calibri" w:hAnsi="Calibri" w:cs="Times New Roman"/>
          <w:sz w:val="20"/>
          <w:szCs w:val="20"/>
        </w:rPr>
        <w:t>Isparta</w:t>
      </w:r>
      <w:proofErr w:type="spellEnd"/>
      <w:r w:rsidR="00011D81">
        <w:rPr>
          <w:rFonts w:ascii="Calibri" w:hAnsi="Calibri" w:cs="Times New Roman"/>
          <w:sz w:val="20"/>
          <w:szCs w:val="20"/>
        </w:rPr>
        <w:t>, 2020.</w:t>
      </w:r>
    </w:p>
  </w:footnote>
  <w:footnote w:id="5">
    <w:p w14:paraId="0F484899" w14:textId="77777777" w:rsidR="00F54E7B" w:rsidRPr="009124AD" w:rsidRDefault="00F54E7B" w:rsidP="004B61D7">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hyperlink r:id="rId3" w:history="1">
        <w:r w:rsidRPr="009124AD">
          <w:rPr>
            <w:rStyle w:val="Kpr"/>
            <w:rFonts w:ascii="Calibri" w:hAnsi="Calibri" w:cs="Times New Roman"/>
            <w:color w:val="auto"/>
            <w:sz w:val="20"/>
            <w:szCs w:val="20"/>
          </w:rPr>
          <w:t>https://www.ttb.org.tr/kutuphane/sehirhastkitapSML.pdf</w:t>
        </w:r>
      </w:hyperlink>
    </w:p>
  </w:footnote>
  <w:footnote w:id="6">
    <w:p w14:paraId="6315D079" w14:textId="1F4531A1" w:rsidR="00F54E7B" w:rsidRPr="009124AD" w:rsidRDefault="00F54E7B" w:rsidP="004B61D7">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r w:rsidRPr="009124AD">
        <w:rPr>
          <w:rFonts w:ascii="Calibri" w:hAnsi="Calibri" w:cs="Times New Roman"/>
          <w:sz w:val="20"/>
          <w:szCs w:val="20"/>
        </w:rPr>
        <w:t>Demir</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Şeyhmus</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hizmetlerinde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bölgesel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eşitsizliklerin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analizi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ve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Türkiye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örneği</w:t>
      </w:r>
      <w:proofErr w:type="spellEnd"/>
      <w:r w:rsidRPr="009124AD">
        <w:rPr>
          <w:rFonts w:ascii="Calibri" w:hAnsi="Calibri" w:cs="Times New Roman"/>
          <w:sz w:val="20"/>
          <w:szCs w:val="20"/>
        </w:rPr>
        <w:t xml:space="preserve"> [Analysis of regional inequalities in health services and the case of Turkey], MSc Thesis,</w:t>
      </w:r>
      <w:r w:rsidR="00011D81">
        <w:rPr>
          <w:rFonts w:ascii="Calibri" w:hAnsi="Calibri" w:cs="Times New Roman"/>
          <w:sz w:val="20"/>
          <w:szCs w:val="20"/>
        </w:rPr>
        <w:t xml:space="preserve"> Edirne 2019.</w:t>
      </w:r>
    </w:p>
  </w:footnote>
  <w:footnote w:id="7">
    <w:p w14:paraId="56EBA951" w14:textId="571D6D4F" w:rsidR="00F54E7B" w:rsidRPr="009124AD" w:rsidRDefault="00F54E7B" w:rsidP="004B61D7">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r w:rsidRPr="009124AD">
        <w:rPr>
          <w:rFonts w:ascii="Calibri" w:hAnsi="Calibri" w:cs="Times New Roman"/>
          <w:sz w:val="20"/>
          <w:szCs w:val="20"/>
        </w:rPr>
        <w:t>Erhalim</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Gumus</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Buse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Türkiye'de</w:t>
      </w:r>
      <w:proofErr w:type="spellEnd"/>
      <w:r w:rsidRPr="009124AD">
        <w:rPr>
          <w:rFonts w:ascii="Calibri" w:hAnsi="Calibri" w:cs="Times New Roman"/>
          <w:sz w:val="20"/>
          <w:szCs w:val="20"/>
        </w:rPr>
        <w:t xml:space="preserve"> Roman </w:t>
      </w:r>
      <w:proofErr w:type="spellStart"/>
      <w:r w:rsidRPr="009124AD">
        <w:rPr>
          <w:rFonts w:ascii="Calibri" w:hAnsi="Calibri" w:cs="Times New Roman"/>
          <w:sz w:val="20"/>
          <w:szCs w:val="20"/>
        </w:rPr>
        <w:t>Kadınların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Hizmetlerine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Erişimi</w:t>
      </w:r>
      <w:proofErr w:type="spellEnd"/>
      <w:r w:rsidRPr="009124AD">
        <w:rPr>
          <w:rFonts w:ascii="Calibri" w:hAnsi="Calibri" w:cs="Times New Roman"/>
          <w:sz w:val="20"/>
          <w:szCs w:val="20"/>
        </w:rPr>
        <w:t xml:space="preserve">: İzmir </w:t>
      </w:r>
      <w:proofErr w:type="spellStart"/>
      <w:r w:rsidRPr="009124AD">
        <w:rPr>
          <w:rFonts w:ascii="Calibri" w:hAnsi="Calibri" w:cs="Times New Roman"/>
          <w:sz w:val="20"/>
          <w:szCs w:val="20"/>
        </w:rPr>
        <w:t>Örneği</w:t>
      </w:r>
      <w:proofErr w:type="spellEnd"/>
      <w:r w:rsidRPr="009124AD">
        <w:rPr>
          <w:rFonts w:ascii="Calibri" w:hAnsi="Calibri" w:cs="Times New Roman"/>
          <w:sz w:val="20"/>
          <w:szCs w:val="20"/>
        </w:rPr>
        <w:t xml:space="preserve"> [Access of Roma Women to Health Services in Turkey: The Case of Izmir], MSc T</w:t>
      </w:r>
      <w:r w:rsidR="00011D81">
        <w:rPr>
          <w:rFonts w:ascii="Calibri" w:hAnsi="Calibri" w:cs="Times New Roman"/>
          <w:sz w:val="20"/>
          <w:szCs w:val="20"/>
        </w:rPr>
        <w:t xml:space="preserve">hesis, </w:t>
      </w:r>
      <w:proofErr w:type="spellStart"/>
      <w:r w:rsidR="00011D81">
        <w:rPr>
          <w:rFonts w:ascii="Calibri" w:hAnsi="Calibri" w:cs="Times New Roman"/>
          <w:sz w:val="20"/>
          <w:szCs w:val="20"/>
        </w:rPr>
        <w:t>Manisa</w:t>
      </w:r>
      <w:proofErr w:type="spellEnd"/>
      <w:r w:rsidR="00011D81">
        <w:rPr>
          <w:rFonts w:ascii="Calibri" w:hAnsi="Calibri" w:cs="Times New Roman"/>
          <w:sz w:val="20"/>
          <w:szCs w:val="20"/>
        </w:rPr>
        <w:t xml:space="preserve"> 2021.</w:t>
      </w:r>
    </w:p>
  </w:footnote>
  <w:footnote w:id="8">
    <w:p w14:paraId="29CB6FD4" w14:textId="28013699" w:rsidR="00F54E7B" w:rsidRPr="009124AD" w:rsidRDefault="00F54E7B" w:rsidP="004B61D7">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r w:rsidRPr="009124AD">
        <w:rPr>
          <w:rFonts w:ascii="Calibri" w:hAnsi="Calibri" w:cs="Times New Roman"/>
          <w:sz w:val="20"/>
          <w:szCs w:val="20"/>
        </w:rPr>
        <w:t>Aksu</w:t>
      </w:r>
      <w:proofErr w:type="spellEnd"/>
      <w:r w:rsidRPr="009124AD">
        <w:rPr>
          <w:rFonts w:ascii="Calibri" w:hAnsi="Calibri" w:cs="Times New Roman"/>
          <w:sz w:val="20"/>
          <w:szCs w:val="20"/>
        </w:rPr>
        <w:t xml:space="preserve"> Alexandra </w:t>
      </w:r>
      <w:proofErr w:type="spellStart"/>
      <w:r w:rsidRPr="009124AD">
        <w:rPr>
          <w:rFonts w:ascii="Calibri" w:hAnsi="Calibri" w:cs="Times New Roman"/>
          <w:sz w:val="20"/>
          <w:szCs w:val="20"/>
        </w:rPr>
        <w:t>Zehra</w:t>
      </w:r>
      <w:proofErr w:type="spellEnd"/>
      <w:r w:rsidRPr="009124AD">
        <w:rPr>
          <w:rFonts w:ascii="Calibri" w:hAnsi="Calibri" w:cs="Times New Roman"/>
          <w:sz w:val="20"/>
          <w:szCs w:val="20"/>
        </w:rPr>
        <w:t>, Experiences of Syrian Refugees Regarding Healthcare Access in Ankara, MSc T</w:t>
      </w:r>
      <w:r w:rsidR="00011D81">
        <w:rPr>
          <w:rFonts w:ascii="Calibri" w:hAnsi="Calibri" w:cs="Times New Roman"/>
          <w:sz w:val="20"/>
          <w:szCs w:val="20"/>
        </w:rPr>
        <w:t xml:space="preserve">hesis, Ankara 2020. </w:t>
      </w:r>
    </w:p>
  </w:footnote>
  <w:footnote w:id="9">
    <w:p w14:paraId="7C8DE4F7" w14:textId="51985157" w:rsidR="00F54E7B" w:rsidRPr="009124AD" w:rsidRDefault="00F54E7B" w:rsidP="004B61D7">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proofErr w:type="gramStart"/>
      <w:r w:rsidRPr="009124AD">
        <w:rPr>
          <w:rFonts w:ascii="Calibri" w:hAnsi="Calibri" w:cs="Times New Roman"/>
          <w:sz w:val="20"/>
          <w:szCs w:val="20"/>
        </w:rPr>
        <w:t>Sereli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Kaan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Mutlu</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Tutuklu</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ve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Hükümlülerin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Hakkı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ve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Hizmetlerine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Erişimi</w:t>
      </w:r>
      <w:proofErr w:type="spellEnd"/>
      <w:r w:rsidRPr="009124AD">
        <w:rPr>
          <w:rFonts w:ascii="Calibri" w:hAnsi="Calibri" w:cs="Times New Roman"/>
          <w:sz w:val="20"/>
          <w:szCs w:val="20"/>
        </w:rPr>
        <w:t xml:space="preserve"> [Prisoners and Convicts' Right to Health and Access to Health Services], MSc Thesis, Ankara 2020.</w:t>
      </w:r>
      <w:proofErr w:type="gramEnd"/>
      <w:r w:rsidRPr="009124AD">
        <w:rPr>
          <w:rFonts w:ascii="Calibri" w:hAnsi="Calibri" w:cs="Times New Roman"/>
          <w:sz w:val="20"/>
          <w:szCs w:val="20"/>
        </w:rPr>
        <w:t xml:space="preserve"> </w:t>
      </w:r>
    </w:p>
  </w:footnote>
  <w:footnote w:id="10">
    <w:p w14:paraId="6A95C679" w14:textId="3F3A0FF9" w:rsidR="00F54E7B" w:rsidRPr="009124AD" w:rsidRDefault="00F54E7B" w:rsidP="004B61D7">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proofErr w:type="gramStart"/>
      <w:r w:rsidRPr="009124AD">
        <w:rPr>
          <w:rFonts w:ascii="Calibri" w:hAnsi="Calibri" w:cs="Times New Roman"/>
          <w:sz w:val="20"/>
          <w:szCs w:val="20"/>
        </w:rPr>
        <w:t>Şantaş</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Fatih</w:t>
      </w:r>
      <w:proofErr w:type="spellEnd"/>
      <w:r w:rsidRPr="009124AD">
        <w:rPr>
          <w:rFonts w:ascii="Calibri" w:hAnsi="Calibri" w:cs="Times New Roman"/>
          <w:sz w:val="20"/>
          <w:szCs w:val="20"/>
        </w:rPr>
        <w:t>.</w:t>
      </w:r>
      <w:proofErr w:type="gramEnd"/>
      <w:r w:rsidRPr="009124AD">
        <w:rPr>
          <w:rFonts w:ascii="Calibri" w:hAnsi="Calibri" w:cs="Times New Roman"/>
          <w:sz w:val="20"/>
          <w:szCs w:val="20"/>
        </w:rPr>
        <w:t xml:space="preserve"> </w:t>
      </w:r>
      <w:proofErr w:type="spellStart"/>
      <w:proofErr w:type="gramStart"/>
      <w:r w:rsidRPr="009124AD">
        <w:rPr>
          <w:rFonts w:ascii="Calibri" w:hAnsi="Calibri" w:cs="Times New Roman"/>
          <w:sz w:val="20"/>
          <w:szCs w:val="20"/>
        </w:rPr>
        <w:t>Yoksulluk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olgusu</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ve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Türkiye'de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yoksulluğun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ve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çeşitli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faktörlerin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statüsü</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ve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hizmetleri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kullanımı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üzerine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etkisi</w:t>
      </w:r>
      <w:proofErr w:type="spellEnd"/>
      <w:r w:rsidRPr="009124AD">
        <w:rPr>
          <w:rFonts w:ascii="Calibri" w:hAnsi="Calibri" w:cs="Times New Roman"/>
          <w:sz w:val="20"/>
          <w:szCs w:val="20"/>
        </w:rPr>
        <w:t xml:space="preserve"> [The phenomenon of poverty and the effect of poverty and various factors on health status and use of health services in Turkey], PhD Thesis, Ankara, 2016</w:t>
      </w:r>
      <w:r w:rsidR="00011D81">
        <w:rPr>
          <w:rFonts w:ascii="Calibri" w:hAnsi="Calibri" w:cs="Times New Roman"/>
          <w:sz w:val="20"/>
          <w:szCs w:val="20"/>
        </w:rPr>
        <w:t>.</w:t>
      </w:r>
      <w:proofErr w:type="gramEnd"/>
    </w:p>
  </w:footnote>
  <w:footnote w:id="11">
    <w:p w14:paraId="0EEBFBC8" w14:textId="77777777" w:rsidR="00F54E7B" w:rsidRPr="009124AD" w:rsidRDefault="00F54E7B" w:rsidP="004B61D7">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For detailed statistical data, see: </w:t>
      </w:r>
      <w:hyperlink r:id="rId4" w:history="1">
        <w:r w:rsidRPr="009124AD">
          <w:rPr>
            <w:rStyle w:val="Kpr"/>
            <w:rFonts w:ascii="Calibri" w:hAnsi="Calibri" w:cs="Times New Roman"/>
            <w:color w:val="auto"/>
            <w:sz w:val="20"/>
            <w:szCs w:val="20"/>
          </w:rPr>
          <w:t>https://data.worldbank.org/indicator/SP.DYN.IMRT.FE.IN</w:t>
        </w:r>
      </w:hyperlink>
    </w:p>
  </w:footnote>
  <w:footnote w:id="12">
    <w:p w14:paraId="0E26E9BF" w14:textId="3183A05F" w:rsidR="00F54E7B" w:rsidRPr="009124AD" w:rsidRDefault="00F54E7B" w:rsidP="004B61D7">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r w:rsidRPr="009124AD">
        <w:rPr>
          <w:rFonts w:ascii="Calibri" w:hAnsi="Calibri" w:cs="Times New Roman"/>
          <w:sz w:val="20"/>
          <w:szCs w:val="20"/>
        </w:rPr>
        <w:t>Kabınkara</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Emrullah</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Hastanelerde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Yoğun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Bakim</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Yatak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Sayilarinin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Planlanmasinda</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Acil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Servis</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Başvurularının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Değerlendirilmesi</w:t>
      </w:r>
      <w:proofErr w:type="spellEnd"/>
      <w:r w:rsidRPr="009124AD">
        <w:rPr>
          <w:rFonts w:ascii="Calibri" w:hAnsi="Calibri" w:cs="Times New Roman"/>
          <w:sz w:val="20"/>
          <w:szCs w:val="20"/>
        </w:rPr>
        <w:t xml:space="preserve"> [Evaluation of Emergency Service Applications in Planning the Number of Intensive Care Beds in Hospitals], MD Thesis, Konya 2020. </w:t>
      </w:r>
    </w:p>
  </w:footnote>
  <w:footnote w:id="13">
    <w:p w14:paraId="05E1FFCF" w14:textId="77777777" w:rsidR="00F54E7B" w:rsidRPr="009124AD" w:rsidRDefault="00F54E7B" w:rsidP="004B61D7">
      <w:pPr>
        <w:pStyle w:val="DipnotMetni"/>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proofErr w:type="gramStart"/>
      <w:r w:rsidRPr="009124AD">
        <w:rPr>
          <w:rFonts w:ascii="Calibri" w:hAnsi="Calibri" w:cs="Times New Roman"/>
          <w:sz w:val="20"/>
          <w:szCs w:val="20"/>
        </w:rPr>
        <w:t>Kabınkara</w:t>
      </w:r>
      <w:proofErr w:type="spellEnd"/>
      <w:r w:rsidRPr="009124AD">
        <w:rPr>
          <w:rFonts w:ascii="Calibri" w:hAnsi="Calibri" w:cs="Times New Roman"/>
          <w:sz w:val="20"/>
          <w:szCs w:val="20"/>
        </w:rPr>
        <w:t>, p.41.</w:t>
      </w:r>
      <w:proofErr w:type="gramEnd"/>
    </w:p>
  </w:footnote>
  <w:footnote w:id="14">
    <w:p w14:paraId="4A1F5D40" w14:textId="77777777" w:rsidR="00F54E7B" w:rsidRPr="009124AD" w:rsidRDefault="00F54E7B" w:rsidP="004B61D7">
      <w:pPr>
        <w:pStyle w:val="DipnotMetni"/>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hyperlink r:id="rId5" w:history="1">
        <w:r w:rsidRPr="009124AD">
          <w:rPr>
            <w:rStyle w:val="Kpr"/>
            <w:rFonts w:ascii="Calibri" w:hAnsi="Calibri" w:cs="Times New Roman"/>
            <w:color w:val="auto"/>
            <w:sz w:val="20"/>
            <w:szCs w:val="20"/>
          </w:rPr>
          <w:t>https://www.sbb.gov.tr/wp-content/uploads/2018/10/10_SaglikHizmetlerininEtkinligininArtirilmasiveMaliSurdurulebilirlik.pdf</w:t>
        </w:r>
      </w:hyperlink>
    </w:p>
  </w:footnote>
  <w:footnote w:id="15">
    <w:p w14:paraId="30492ACE" w14:textId="19682EDF" w:rsidR="00F54E7B" w:rsidRPr="009124AD" w:rsidRDefault="00F54E7B" w:rsidP="004B61D7">
      <w:pPr>
        <w:pStyle w:val="DipnotMetni"/>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This equals to EURO 110</w:t>
      </w:r>
      <w:proofErr w:type="gramStart"/>
      <w:r w:rsidRPr="009124AD">
        <w:rPr>
          <w:rFonts w:ascii="Calibri" w:hAnsi="Calibri" w:cs="Times New Roman"/>
          <w:sz w:val="20"/>
          <w:szCs w:val="20"/>
        </w:rPr>
        <w:t>,61</w:t>
      </w:r>
      <w:proofErr w:type="gramEnd"/>
      <w:r w:rsidRPr="009124AD">
        <w:rPr>
          <w:rFonts w:ascii="Calibri" w:hAnsi="Calibri" w:cs="Times New Roman"/>
          <w:sz w:val="20"/>
          <w:szCs w:val="20"/>
        </w:rPr>
        <w:t xml:space="preserve"> (Exchange rate at the date October</w:t>
      </w:r>
      <w:r w:rsidR="00B47016">
        <w:rPr>
          <w:rFonts w:ascii="Calibri" w:hAnsi="Calibri" w:cs="Times New Roman"/>
          <w:sz w:val="20"/>
          <w:szCs w:val="20"/>
        </w:rPr>
        <w:t xml:space="preserve"> 20</w:t>
      </w:r>
      <w:r w:rsidR="00B47016" w:rsidRPr="00B47016">
        <w:rPr>
          <w:rFonts w:ascii="Calibri" w:hAnsi="Calibri" w:cs="Times New Roman"/>
          <w:sz w:val="20"/>
          <w:szCs w:val="20"/>
          <w:vertAlign w:val="superscript"/>
        </w:rPr>
        <w:t>th</w:t>
      </w:r>
      <w:r w:rsidR="00B47016">
        <w:rPr>
          <w:rFonts w:ascii="Calibri" w:hAnsi="Calibri" w:cs="Times New Roman"/>
          <w:sz w:val="20"/>
          <w:szCs w:val="20"/>
        </w:rPr>
        <w:t>,</w:t>
      </w:r>
      <w:r w:rsidRPr="009124AD">
        <w:rPr>
          <w:rFonts w:ascii="Calibri" w:hAnsi="Calibri" w:cs="Times New Roman"/>
          <w:sz w:val="20"/>
          <w:szCs w:val="20"/>
        </w:rPr>
        <w:t xml:space="preserve"> 2021). </w:t>
      </w:r>
    </w:p>
  </w:footnote>
  <w:footnote w:id="16">
    <w:p w14:paraId="01FBF06A" w14:textId="0053CBE1" w:rsidR="00F54E7B" w:rsidRPr="009124AD" w:rsidRDefault="00F54E7B" w:rsidP="006000C9">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proofErr w:type="gramStart"/>
      <w:r w:rsidRPr="009124AD">
        <w:rPr>
          <w:rFonts w:ascii="Calibri" w:hAnsi="Calibri" w:cs="Times New Roman"/>
          <w:sz w:val="20"/>
          <w:szCs w:val="20"/>
        </w:rPr>
        <w:t>Doğan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Emrah</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Türkiye'de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genel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sigortası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uygulamasının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hane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halkı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harcamalarına</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etkisi</w:t>
      </w:r>
      <w:proofErr w:type="spellEnd"/>
      <w:r w:rsidRPr="009124AD">
        <w:rPr>
          <w:rFonts w:ascii="Calibri" w:hAnsi="Calibri" w:cs="Times New Roman"/>
          <w:sz w:val="20"/>
          <w:szCs w:val="20"/>
        </w:rPr>
        <w:t xml:space="preserve"> [The effect of general health insurance implementation on household health expenditures in Turk</w:t>
      </w:r>
      <w:r w:rsidR="00011D81">
        <w:rPr>
          <w:rFonts w:ascii="Calibri" w:hAnsi="Calibri" w:cs="Times New Roman"/>
          <w:sz w:val="20"/>
          <w:szCs w:val="20"/>
        </w:rPr>
        <w:t>ey], MD Thesis, İstanbul 2019.</w:t>
      </w:r>
      <w:proofErr w:type="gramEnd"/>
      <w:r w:rsidR="00011D81">
        <w:rPr>
          <w:rFonts w:ascii="Calibri" w:hAnsi="Calibri" w:cs="Times New Roman"/>
          <w:sz w:val="20"/>
          <w:szCs w:val="20"/>
        </w:rPr>
        <w:t xml:space="preserve"> </w:t>
      </w:r>
    </w:p>
  </w:footnote>
  <w:footnote w:id="17">
    <w:p w14:paraId="3942C23D" w14:textId="77777777" w:rsidR="00F54E7B" w:rsidRPr="009124AD" w:rsidRDefault="00F54E7B" w:rsidP="009124AD">
      <w:pPr>
        <w:pStyle w:val="DipnotMetni"/>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hyperlink r:id="rId6" w:history="1">
        <w:r w:rsidRPr="009124AD">
          <w:rPr>
            <w:rStyle w:val="Kpr"/>
            <w:rFonts w:ascii="Calibri" w:hAnsi="Calibri" w:cs="Times New Roman"/>
            <w:color w:val="auto"/>
            <w:sz w:val="20"/>
            <w:szCs w:val="20"/>
          </w:rPr>
          <w:t>https://hsgm.saglik.gov.tr/depo/birimler/Bulasici-hastaliklar-db/hastaliklar/HIV-ADS/Tani-Tedavi_Rehberi/HIV_AIDS_Kontrol_Programi.pdf</w:t>
        </w:r>
      </w:hyperlink>
    </w:p>
  </w:footnote>
  <w:footnote w:id="18">
    <w:p w14:paraId="51226CB0" w14:textId="77777777" w:rsidR="00F54E7B" w:rsidRPr="009124AD" w:rsidRDefault="00F54E7B" w:rsidP="009124AD">
      <w:pPr>
        <w:pStyle w:val="DipnotMetni"/>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hyperlink r:id="rId7" w:history="1">
        <w:r w:rsidRPr="009124AD">
          <w:rPr>
            <w:rStyle w:val="Kpr"/>
            <w:rFonts w:ascii="Calibri" w:hAnsi="Calibri" w:cs="Times New Roman"/>
            <w:color w:val="auto"/>
            <w:sz w:val="20"/>
            <w:szCs w:val="20"/>
          </w:rPr>
          <w:t>https://pozitifyasam.org/wp-content/uploads/Raporlar/Pozitif%20Ya%C5%9Fam%20Derne%C4%9Fi-3%20Ayl%C4%B1k%20Rapor%206.pdf</w:t>
        </w:r>
      </w:hyperlink>
    </w:p>
  </w:footnote>
  <w:footnote w:id="19">
    <w:p w14:paraId="30B07434" w14:textId="77777777" w:rsidR="00F54E7B" w:rsidRPr="009124AD" w:rsidRDefault="00F54E7B" w:rsidP="009124AD">
      <w:pPr>
        <w:pStyle w:val="DipnotMetni"/>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hyperlink r:id="rId8" w:history="1">
        <w:r w:rsidRPr="009124AD">
          <w:rPr>
            <w:rStyle w:val="Kpr"/>
            <w:rFonts w:ascii="Calibri" w:hAnsi="Calibri" w:cs="Times New Roman"/>
            <w:color w:val="auto"/>
            <w:sz w:val="20"/>
            <w:szCs w:val="20"/>
          </w:rPr>
          <w:t>https://pozitifyasam.org/wp-content/uploads/Kitaplar/AIDS,%20%C4%B0nsan%20Haklar%C4%B1%20ve%20Yasalar.pdf</w:t>
        </w:r>
      </w:hyperlink>
    </w:p>
  </w:footnote>
  <w:footnote w:id="20">
    <w:p w14:paraId="7C66C7AD" w14:textId="5C7B66A4" w:rsidR="00F54E7B" w:rsidRPr="009124AD" w:rsidRDefault="00F54E7B" w:rsidP="006000C9">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r w:rsidRPr="009124AD">
        <w:rPr>
          <w:rFonts w:ascii="Calibri" w:hAnsi="Calibri" w:cs="Times New Roman"/>
          <w:sz w:val="20"/>
          <w:szCs w:val="20"/>
        </w:rPr>
        <w:t>Kızılova</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Arif</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Türker</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Türkiye’de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Genel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Sigortası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Gelişimi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Uygulanması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ve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Sorunlar</w:t>
      </w:r>
      <w:proofErr w:type="spellEnd"/>
      <w:r w:rsidRPr="009124AD">
        <w:rPr>
          <w:rFonts w:ascii="Calibri" w:hAnsi="Calibri" w:cs="Times New Roman"/>
          <w:sz w:val="20"/>
          <w:szCs w:val="20"/>
        </w:rPr>
        <w:t xml:space="preserve"> [General Health Insurance Development Implementation and Problems in Turkey], MS</w:t>
      </w:r>
      <w:r w:rsidR="00011D81">
        <w:rPr>
          <w:rFonts w:ascii="Calibri" w:hAnsi="Calibri" w:cs="Times New Roman"/>
          <w:sz w:val="20"/>
          <w:szCs w:val="20"/>
        </w:rPr>
        <w:t xml:space="preserve">c Thesis, Bursa 2015 </w:t>
      </w:r>
      <w:r w:rsidRPr="009124AD">
        <w:rPr>
          <w:rFonts w:ascii="Calibri" w:hAnsi="Calibri" w:cs="Times New Roman"/>
          <w:sz w:val="20"/>
          <w:szCs w:val="20"/>
        </w:rPr>
        <w:t xml:space="preserve">; </w:t>
      </w:r>
      <w:proofErr w:type="spellStart"/>
      <w:r w:rsidRPr="009124AD">
        <w:rPr>
          <w:rFonts w:ascii="Calibri" w:hAnsi="Calibri" w:cs="Times New Roman"/>
          <w:sz w:val="20"/>
          <w:szCs w:val="20"/>
        </w:rPr>
        <w:t>Başmanav</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Yasemin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Genel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Sigortasının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Kişi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Bakımından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Kapsamı</w:t>
      </w:r>
      <w:proofErr w:type="spellEnd"/>
      <w:r w:rsidRPr="009124AD">
        <w:rPr>
          <w:rFonts w:ascii="Calibri" w:hAnsi="Calibri" w:cs="Times New Roman"/>
          <w:sz w:val="20"/>
          <w:szCs w:val="20"/>
        </w:rPr>
        <w:t xml:space="preserve"> [Personal Coverage of General Health Insuranc</w:t>
      </w:r>
      <w:r w:rsidR="00011D81">
        <w:rPr>
          <w:rFonts w:ascii="Calibri" w:hAnsi="Calibri" w:cs="Times New Roman"/>
          <w:sz w:val="20"/>
          <w:szCs w:val="20"/>
        </w:rPr>
        <w:t xml:space="preserve">e], MSc Thesis, İstanbul 2014. </w:t>
      </w:r>
    </w:p>
  </w:footnote>
  <w:footnote w:id="21">
    <w:p w14:paraId="0E07416B" w14:textId="4C9647FF" w:rsidR="00F54E7B" w:rsidRPr="009124AD" w:rsidRDefault="00F54E7B" w:rsidP="006000C9">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r w:rsidRPr="009124AD">
        <w:rPr>
          <w:rFonts w:ascii="Calibri" w:hAnsi="Calibri" w:cs="Times New Roman"/>
          <w:sz w:val="20"/>
          <w:szCs w:val="20"/>
        </w:rPr>
        <w:t>Tapan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Birkan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Genel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Sigortasının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Sürdürülebilirliği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İçin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Tamamlayıcı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Sigortasının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Gerekliliği</w:t>
      </w:r>
      <w:proofErr w:type="spellEnd"/>
      <w:r w:rsidRPr="009124AD">
        <w:rPr>
          <w:rFonts w:ascii="Calibri" w:hAnsi="Calibri" w:cs="Times New Roman"/>
          <w:sz w:val="20"/>
          <w:szCs w:val="20"/>
        </w:rPr>
        <w:t xml:space="preserve"> [Necessity of Complementary Health Insurance for Sustainability of General Health Insuran</w:t>
      </w:r>
      <w:r w:rsidR="00011D81">
        <w:rPr>
          <w:rFonts w:ascii="Calibri" w:hAnsi="Calibri" w:cs="Times New Roman"/>
          <w:sz w:val="20"/>
          <w:szCs w:val="20"/>
        </w:rPr>
        <w:t xml:space="preserve">ce], PhD Thesis, İstanbul 2008 </w:t>
      </w:r>
      <w:r w:rsidRPr="009124AD">
        <w:rPr>
          <w:rFonts w:ascii="Calibri" w:hAnsi="Calibri" w:cs="Times New Roman"/>
          <w:sz w:val="20"/>
          <w:szCs w:val="20"/>
        </w:rPr>
        <w:t xml:space="preserve">; </w:t>
      </w:r>
      <w:proofErr w:type="spellStart"/>
      <w:r w:rsidRPr="009124AD">
        <w:rPr>
          <w:rFonts w:ascii="Calibri" w:hAnsi="Calibri" w:cs="Times New Roman"/>
          <w:sz w:val="20"/>
          <w:szCs w:val="20"/>
        </w:rPr>
        <w:t>Dağ</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Celal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Türk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Genel</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Sağlık</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Sigortası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Sisteminin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Seçilmiş</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Bazı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Ülke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Sistemleri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ile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Karşılaştırılmalı</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Analizi</w:t>
      </w:r>
      <w:proofErr w:type="spellEnd"/>
      <w:r w:rsidRPr="009124AD">
        <w:rPr>
          <w:rFonts w:ascii="Calibri" w:hAnsi="Calibri" w:cs="Times New Roman"/>
          <w:sz w:val="20"/>
          <w:szCs w:val="20"/>
        </w:rPr>
        <w:t xml:space="preserve"> [Comparative Analysis of Turkish General Health Insurance System with Some Selected Country System</w:t>
      </w:r>
      <w:r w:rsidR="00011D81">
        <w:rPr>
          <w:rFonts w:ascii="Calibri" w:hAnsi="Calibri" w:cs="Times New Roman"/>
          <w:sz w:val="20"/>
          <w:szCs w:val="20"/>
        </w:rPr>
        <w:t xml:space="preserve">s], PhD Thesis, İstanbul 2013. </w:t>
      </w:r>
    </w:p>
  </w:footnote>
  <w:footnote w:id="22">
    <w:p w14:paraId="47656C3B" w14:textId="1A4271B1" w:rsidR="00F54E7B" w:rsidRPr="009124AD" w:rsidRDefault="00F54E7B" w:rsidP="006000C9">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r w:rsidRPr="009124AD">
        <w:rPr>
          <w:rFonts w:ascii="Calibri" w:hAnsi="Calibri" w:cs="Times New Roman"/>
          <w:sz w:val="20"/>
          <w:szCs w:val="20"/>
        </w:rPr>
        <w:t>Günler</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Zeynep</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Aydınlatılmış</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Onam</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ve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İnsan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Hakları</w:t>
      </w:r>
      <w:proofErr w:type="spellEnd"/>
      <w:r w:rsidRPr="009124AD">
        <w:rPr>
          <w:rFonts w:ascii="Calibri" w:hAnsi="Calibri" w:cs="Times New Roman"/>
          <w:sz w:val="20"/>
          <w:szCs w:val="20"/>
        </w:rPr>
        <w:t xml:space="preserve"> [Informed Consent and Human Right</w:t>
      </w:r>
      <w:r w:rsidR="00011D81">
        <w:rPr>
          <w:rFonts w:ascii="Calibri" w:hAnsi="Calibri" w:cs="Times New Roman"/>
          <w:sz w:val="20"/>
          <w:szCs w:val="20"/>
        </w:rPr>
        <w:t xml:space="preserve">s], MSc Thesis, İstanbul 2021. </w:t>
      </w:r>
    </w:p>
  </w:footnote>
  <w:footnote w:id="23">
    <w:p w14:paraId="18F5DC6B" w14:textId="1413FD3F" w:rsidR="00F54E7B" w:rsidRPr="009124AD" w:rsidRDefault="00F54E7B" w:rsidP="00B43AD2">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spellStart"/>
      <w:r w:rsidRPr="009124AD">
        <w:rPr>
          <w:rFonts w:ascii="Calibri" w:hAnsi="Calibri" w:cs="Times New Roman"/>
          <w:sz w:val="20"/>
          <w:szCs w:val="20"/>
        </w:rPr>
        <w:t>Yıldırım</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Selda</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Tıbbi</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Müdahalelerde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Aydınlatılmış</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Onam</w:t>
      </w:r>
      <w:proofErr w:type="spellEnd"/>
      <w:r w:rsidRPr="009124AD">
        <w:rPr>
          <w:rFonts w:ascii="Calibri" w:hAnsi="Calibri" w:cs="Times New Roman"/>
          <w:sz w:val="20"/>
          <w:szCs w:val="20"/>
        </w:rPr>
        <w:t xml:space="preserve"> [Informed Consent in Medical Intervention</w:t>
      </w:r>
      <w:r w:rsidR="00011D81">
        <w:rPr>
          <w:rFonts w:ascii="Calibri" w:hAnsi="Calibri" w:cs="Times New Roman"/>
          <w:sz w:val="20"/>
          <w:szCs w:val="20"/>
        </w:rPr>
        <w:t xml:space="preserve">s], MSc Thesis, İstanbul 2015. </w:t>
      </w:r>
    </w:p>
  </w:footnote>
  <w:footnote w:id="24">
    <w:p w14:paraId="2B15A534" w14:textId="77777777" w:rsidR="00F54E7B" w:rsidRPr="009124AD" w:rsidRDefault="00F54E7B" w:rsidP="00B43AD2">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hyperlink r:id="rId9" w:history="1">
        <w:r w:rsidRPr="009124AD">
          <w:rPr>
            <w:rStyle w:val="Kpr"/>
            <w:rFonts w:ascii="Calibri" w:hAnsi="Calibri" w:cs="Times New Roman"/>
            <w:color w:val="auto"/>
            <w:sz w:val="20"/>
            <w:szCs w:val="20"/>
          </w:rPr>
          <w:t>https://archhealthscires.org/en/examination-of-the-patients-information-levels-about-surgical-informed-consent-16261</w:t>
        </w:r>
      </w:hyperlink>
    </w:p>
  </w:footnote>
  <w:footnote w:id="25">
    <w:p w14:paraId="786F756F" w14:textId="5DE71D2C" w:rsidR="00F54E7B" w:rsidRPr="009124AD" w:rsidRDefault="00F54E7B" w:rsidP="00B43AD2">
      <w:pPr>
        <w:pStyle w:val="DipnotMetni"/>
        <w:jc w:val="both"/>
        <w:rPr>
          <w:rFonts w:ascii="Calibri" w:hAnsi="Calibri" w:cs="Times New Roman"/>
          <w:sz w:val="20"/>
          <w:szCs w:val="20"/>
        </w:rPr>
      </w:pPr>
      <w:r w:rsidRPr="009124AD">
        <w:rPr>
          <w:rStyle w:val="DipnotBavurusu"/>
          <w:rFonts w:ascii="Calibri" w:hAnsi="Calibri" w:cs="Times New Roman"/>
          <w:sz w:val="20"/>
          <w:szCs w:val="20"/>
        </w:rPr>
        <w:footnoteRef/>
      </w:r>
      <w:r w:rsidRPr="009124AD">
        <w:rPr>
          <w:rFonts w:ascii="Calibri" w:hAnsi="Calibri" w:cs="Times New Roman"/>
          <w:sz w:val="20"/>
          <w:szCs w:val="20"/>
        </w:rPr>
        <w:t xml:space="preserve"> </w:t>
      </w:r>
      <w:proofErr w:type="gramStart"/>
      <w:r w:rsidRPr="009124AD">
        <w:rPr>
          <w:rFonts w:ascii="Calibri" w:hAnsi="Calibri" w:cs="Times New Roman"/>
          <w:sz w:val="20"/>
          <w:szCs w:val="20"/>
        </w:rPr>
        <w:t xml:space="preserve">Decision of inadmissibility on </w:t>
      </w:r>
      <w:proofErr w:type="spellStart"/>
      <w:r w:rsidRPr="009124AD">
        <w:rPr>
          <w:rFonts w:ascii="Calibri" w:hAnsi="Calibri" w:cs="Times New Roman"/>
          <w:sz w:val="20"/>
          <w:szCs w:val="20"/>
        </w:rPr>
        <w:t>Ferha</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Perçin’s</w:t>
      </w:r>
      <w:proofErr w:type="spellEnd"/>
      <w:r w:rsidRPr="009124AD">
        <w:rPr>
          <w:rFonts w:ascii="Calibri" w:hAnsi="Calibri" w:cs="Times New Roman"/>
          <w:sz w:val="20"/>
          <w:szCs w:val="20"/>
        </w:rPr>
        <w:t xml:space="preserve"> individual application (</w:t>
      </w:r>
      <w:r w:rsidRPr="009124AD">
        <w:rPr>
          <w:rFonts w:ascii="Calibri" w:hAnsi="Calibri"/>
          <w:sz w:val="20"/>
          <w:szCs w:val="20"/>
          <w:shd w:val="clear" w:color="auto" w:fill="FFFFFF"/>
        </w:rPr>
        <w:t>2018/23894), Constitutional Court, Division 1, June 30</w:t>
      </w:r>
      <w:r w:rsidRPr="009124AD">
        <w:rPr>
          <w:rFonts w:ascii="Calibri" w:hAnsi="Calibri"/>
          <w:sz w:val="20"/>
          <w:szCs w:val="20"/>
          <w:shd w:val="clear" w:color="auto" w:fill="FFFFFF"/>
          <w:vertAlign w:val="superscript"/>
        </w:rPr>
        <w:t>th</w:t>
      </w:r>
      <w:r w:rsidRPr="009124AD">
        <w:rPr>
          <w:rFonts w:ascii="Calibri" w:hAnsi="Calibri"/>
          <w:sz w:val="20"/>
          <w:szCs w:val="20"/>
          <w:shd w:val="clear" w:color="auto" w:fill="FFFFFF"/>
        </w:rPr>
        <w:t>, 2021.</w:t>
      </w:r>
      <w:proofErr w:type="gramEnd"/>
      <w:r w:rsidRPr="009124AD">
        <w:rPr>
          <w:rFonts w:ascii="Calibri" w:hAnsi="Calibri"/>
          <w:sz w:val="20"/>
          <w:szCs w:val="20"/>
          <w:shd w:val="clear" w:color="auto" w:fill="FFFFFF"/>
        </w:rPr>
        <w:t xml:space="preserve"> </w:t>
      </w:r>
    </w:p>
  </w:footnote>
  <w:footnote w:id="26">
    <w:p w14:paraId="23A7CF9B" w14:textId="0656FF2C" w:rsidR="00F54E7B" w:rsidRPr="009124AD" w:rsidRDefault="00F54E7B" w:rsidP="00B43AD2">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proofErr w:type="gramStart"/>
      <w:r w:rsidRPr="009124AD">
        <w:rPr>
          <w:rFonts w:ascii="Calibri" w:hAnsi="Calibri" w:cs="Times New Roman"/>
          <w:sz w:val="20"/>
          <w:szCs w:val="20"/>
        </w:rPr>
        <w:t xml:space="preserve">Decision of inadmissibility on Ayşe </w:t>
      </w:r>
      <w:proofErr w:type="spellStart"/>
      <w:r w:rsidRPr="009124AD">
        <w:rPr>
          <w:rFonts w:ascii="Calibri" w:hAnsi="Calibri" w:cs="Times New Roman"/>
          <w:sz w:val="20"/>
          <w:szCs w:val="20"/>
        </w:rPr>
        <w:t>Özkara</w:t>
      </w:r>
      <w:proofErr w:type="spellEnd"/>
      <w:r w:rsidRPr="009124AD">
        <w:rPr>
          <w:rFonts w:ascii="Calibri" w:hAnsi="Calibri" w:cs="Times New Roman"/>
          <w:sz w:val="20"/>
          <w:szCs w:val="20"/>
        </w:rPr>
        <w:t xml:space="preserve"> and </w:t>
      </w:r>
      <w:proofErr w:type="spellStart"/>
      <w:r w:rsidRPr="009124AD">
        <w:rPr>
          <w:rFonts w:ascii="Calibri" w:hAnsi="Calibri" w:cs="Times New Roman"/>
          <w:sz w:val="20"/>
          <w:szCs w:val="20"/>
        </w:rPr>
        <w:t>Safiye</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Özkara’s</w:t>
      </w:r>
      <w:proofErr w:type="spellEnd"/>
      <w:r w:rsidRPr="009124AD">
        <w:rPr>
          <w:rFonts w:ascii="Calibri" w:hAnsi="Calibri" w:cs="Times New Roman"/>
          <w:sz w:val="20"/>
          <w:szCs w:val="20"/>
        </w:rPr>
        <w:t xml:space="preserve"> individual application (</w:t>
      </w:r>
      <w:r w:rsidRPr="009124AD">
        <w:rPr>
          <w:rFonts w:ascii="Calibri" w:hAnsi="Calibri"/>
          <w:sz w:val="20"/>
          <w:szCs w:val="20"/>
          <w:shd w:val="clear" w:color="auto" w:fill="FFFFFF"/>
        </w:rPr>
        <w:t>2015/13646), Constitutional Court, Division 2, September 12</w:t>
      </w:r>
      <w:r w:rsidRPr="009124AD">
        <w:rPr>
          <w:rFonts w:ascii="Calibri" w:hAnsi="Calibri"/>
          <w:sz w:val="20"/>
          <w:szCs w:val="20"/>
          <w:shd w:val="clear" w:color="auto" w:fill="FFFFFF"/>
          <w:vertAlign w:val="superscript"/>
        </w:rPr>
        <w:t>th</w:t>
      </w:r>
      <w:r w:rsidRPr="009124AD">
        <w:rPr>
          <w:rFonts w:ascii="Calibri" w:hAnsi="Calibri"/>
          <w:sz w:val="20"/>
          <w:szCs w:val="20"/>
          <w:shd w:val="clear" w:color="auto" w:fill="FFFFFF"/>
        </w:rPr>
        <w:t>, 2018.</w:t>
      </w:r>
      <w:proofErr w:type="gramEnd"/>
      <w:r w:rsidRPr="009124AD">
        <w:rPr>
          <w:rFonts w:ascii="Calibri" w:hAnsi="Calibri"/>
          <w:sz w:val="20"/>
          <w:szCs w:val="20"/>
          <w:shd w:val="clear" w:color="auto" w:fill="FFFFFF"/>
        </w:rPr>
        <w:t xml:space="preserve"> </w:t>
      </w:r>
    </w:p>
  </w:footnote>
  <w:footnote w:id="27">
    <w:p w14:paraId="13103B8A" w14:textId="4908257B" w:rsidR="00F54E7B" w:rsidRPr="009124AD" w:rsidRDefault="00F54E7B" w:rsidP="00B43AD2">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proofErr w:type="gramStart"/>
      <w:r w:rsidRPr="009124AD">
        <w:rPr>
          <w:rFonts w:ascii="Calibri" w:hAnsi="Calibri" w:cs="Times New Roman"/>
          <w:sz w:val="20"/>
          <w:szCs w:val="20"/>
        </w:rPr>
        <w:t xml:space="preserve">Decision of inadmissibility on </w:t>
      </w:r>
      <w:proofErr w:type="spellStart"/>
      <w:r w:rsidRPr="009124AD">
        <w:rPr>
          <w:rFonts w:ascii="Calibri" w:hAnsi="Calibri" w:cs="Times New Roman"/>
          <w:sz w:val="20"/>
          <w:szCs w:val="20"/>
        </w:rPr>
        <w:t>Engin</w:t>
      </w:r>
      <w:proofErr w:type="spellEnd"/>
      <w:r w:rsidRPr="009124AD">
        <w:rPr>
          <w:rFonts w:ascii="Calibri" w:hAnsi="Calibri" w:cs="Times New Roman"/>
          <w:sz w:val="20"/>
          <w:szCs w:val="20"/>
        </w:rPr>
        <w:t xml:space="preserve"> </w:t>
      </w:r>
      <w:proofErr w:type="spellStart"/>
      <w:r w:rsidRPr="009124AD">
        <w:rPr>
          <w:rFonts w:ascii="Calibri" w:hAnsi="Calibri" w:cs="Times New Roman"/>
          <w:sz w:val="20"/>
          <w:szCs w:val="20"/>
        </w:rPr>
        <w:t>Aslan’s</w:t>
      </w:r>
      <w:proofErr w:type="spellEnd"/>
      <w:r w:rsidRPr="009124AD">
        <w:rPr>
          <w:rFonts w:ascii="Calibri" w:hAnsi="Calibri" w:cs="Times New Roman"/>
          <w:sz w:val="20"/>
          <w:szCs w:val="20"/>
        </w:rPr>
        <w:t xml:space="preserve"> individual application (</w:t>
      </w:r>
      <w:r w:rsidRPr="009124AD">
        <w:rPr>
          <w:rFonts w:ascii="Calibri" w:hAnsi="Calibri"/>
          <w:sz w:val="20"/>
          <w:szCs w:val="20"/>
          <w:shd w:val="clear" w:color="auto" w:fill="FFFFFF"/>
        </w:rPr>
        <w:t>2017/15517), Constitutional Court, Division 1, June 30</w:t>
      </w:r>
      <w:r w:rsidRPr="009124AD">
        <w:rPr>
          <w:rFonts w:ascii="Calibri" w:hAnsi="Calibri"/>
          <w:sz w:val="20"/>
          <w:szCs w:val="20"/>
          <w:shd w:val="clear" w:color="auto" w:fill="FFFFFF"/>
          <w:vertAlign w:val="superscript"/>
        </w:rPr>
        <w:t>th</w:t>
      </w:r>
      <w:r w:rsidR="00011D81">
        <w:rPr>
          <w:rFonts w:ascii="Calibri" w:hAnsi="Calibri"/>
          <w:sz w:val="20"/>
          <w:szCs w:val="20"/>
          <w:shd w:val="clear" w:color="auto" w:fill="FFFFFF"/>
        </w:rPr>
        <w:t>, 2021.</w:t>
      </w:r>
      <w:proofErr w:type="gramEnd"/>
      <w:r w:rsidR="00011D81">
        <w:rPr>
          <w:rFonts w:ascii="Calibri" w:hAnsi="Calibri"/>
          <w:sz w:val="20"/>
          <w:szCs w:val="20"/>
          <w:shd w:val="clear" w:color="auto" w:fill="FFFFFF"/>
        </w:rPr>
        <w:t xml:space="preserve"> </w:t>
      </w:r>
    </w:p>
  </w:footnote>
  <w:footnote w:id="28">
    <w:p w14:paraId="0105FAA3" w14:textId="4C6F7FCF"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proofErr w:type="spellStart"/>
      <w:r w:rsidRPr="009124AD">
        <w:rPr>
          <w:rFonts w:ascii="Calibri" w:hAnsi="Calibri"/>
          <w:sz w:val="20"/>
          <w:szCs w:val="20"/>
        </w:rPr>
        <w:t>Yılmaz</w:t>
      </w:r>
      <w:proofErr w:type="spellEnd"/>
      <w:r w:rsidRPr="009124AD">
        <w:rPr>
          <w:rFonts w:ascii="Calibri" w:hAnsi="Calibri"/>
          <w:sz w:val="20"/>
          <w:szCs w:val="20"/>
        </w:rPr>
        <w:t xml:space="preserve"> </w:t>
      </w:r>
      <w:proofErr w:type="spellStart"/>
      <w:r w:rsidRPr="009124AD">
        <w:rPr>
          <w:rFonts w:ascii="Calibri" w:hAnsi="Calibri"/>
          <w:sz w:val="20"/>
          <w:szCs w:val="20"/>
        </w:rPr>
        <w:t>Zeynep</w:t>
      </w:r>
      <w:proofErr w:type="spellEnd"/>
      <w:r w:rsidRPr="009124AD">
        <w:rPr>
          <w:rFonts w:ascii="Calibri" w:hAnsi="Calibri"/>
          <w:sz w:val="20"/>
          <w:szCs w:val="20"/>
        </w:rPr>
        <w:t xml:space="preserve">, </w:t>
      </w:r>
      <w:proofErr w:type="spellStart"/>
      <w:r w:rsidRPr="009124AD">
        <w:rPr>
          <w:rFonts w:ascii="Calibri" w:hAnsi="Calibri"/>
          <w:sz w:val="20"/>
          <w:szCs w:val="20"/>
        </w:rPr>
        <w:t>Ceza</w:t>
      </w:r>
      <w:proofErr w:type="spellEnd"/>
      <w:r w:rsidRPr="009124AD">
        <w:rPr>
          <w:rFonts w:ascii="Calibri" w:hAnsi="Calibri"/>
          <w:sz w:val="20"/>
          <w:szCs w:val="20"/>
        </w:rPr>
        <w:t xml:space="preserve"> </w:t>
      </w:r>
      <w:proofErr w:type="spellStart"/>
      <w:r w:rsidRPr="009124AD">
        <w:rPr>
          <w:rFonts w:ascii="Calibri" w:hAnsi="Calibri"/>
          <w:sz w:val="20"/>
          <w:szCs w:val="20"/>
        </w:rPr>
        <w:t>Muhakemesi</w:t>
      </w:r>
      <w:proofErr w:type="spellEnd"/>
      <w:r w:rsidRPr="009124AD">
        <w:rPr>
          <w:rFonts w:ascii="Calibri" w:hAnsi="Calibri"/>
          <w:sz w:val="20"/>
          <w:szCs w:val="20"/>
        </w:rPr>
        <w:t xml:space="preserve"> </w:t>
      </w:r>
      <w:proofErr w:type="spellStart"/>
      <w:r w:rsidRPr="009124AD">
        <w:rPr>
          <w:rFonts w:ascii="Calibri" w:hAnsi="Calibri"/>
          <w:sz w:val="20"/>
          <w:szCs w:val="20"/>
        </w:rPr>
        <w:t>Hukukunda</w:t>
      </w:r>
      <w:proofErr w:type="spellEnd"/>
      <w:r w:rsidRPr="009124AD">
        <w:rPr>
          <w:rFonts w:ascii="Calibri" w:hAnsi="Calibri"/>
          <w:sz w:val="20"/>
          <w:szCs w:val="20"/>
        </w:rPr>
        <w:t xml:space="preserve"> </w:t>
      </w:r>
      <w:proofErr w:type="spellStart"/>
      <w:r w:rsidRPr="009124AD">
        <w:rPr>
          <w:rFonts w:ascii="Calibri" w:hAnsi="Calibri"/>
          <w:sz w:val="20"/>
          <w:szCs w:val="20"/>
        </w:rPr>
        <w:t>Bilirkişilik</w:t>
      </w:r>
      <w:proofErr w:type="spellEnd"/>
      <w:r w:rsidRPr="009124AD">
        <w:rPr>
          <w:rFonts w:ascii="Calibri" w:hAnsi="Calibri"/>
          <w:sz w:val="20"/>
          <w:szCs w:val="20"/>
        </w:rPr>
        <w:t xml:space="preserve"> [Expertise in Criminal La</w:t>
      </w:r>
      <w:r w:rsidR="00011D81">
        <w:rPr>
          <w:rFonts w:ascii="Calibri" w:hAnsi="Calibri"/>
          <w:sz w:val="20"/>
          <w:szCs w:val="20"/>
        </w:rPr>
        <w:t xml:space="preserve">w], MSc Thesis, İstanbul 2021. </w:t>
      </w:r>
    </w:p>
  </w:footnote>
  <w:footnote w:id="29">
    <w:p w14:paraId="44A4A8FD" w14:textId="6BA16959"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proofErr w:type="spellStart"/>
      <w:r w:rsidRPr="009124AD">
        <w:rPr>
          <w:rFonts w:ascii="Calibri" w:hAnsi="Calibri"/>
          <w:sz w:val="20"/>
          <w:szCs w:val="20"/>
        </w:rPr>
        <w:t>Kayılıoğlu</w:t>
      </w:r>
      <w:proofErr w:type="spellEnd"/>
      <w:r w:rsidRPr="009124AD">
        <w:rPr>
          <w:rFonts w:ascii="Calibri" w:hAnsi="Calibri"/>
          <w:sz w:val="20"/>
          <w:szCs w:val="20"/>
        </w:rPr>
        <w:t xml:space="preserve"> </w:t>
      </w:r>
      <w:proofErr w:type="spellStart"/>
      <w:r w:rsidRPr="009124AD">
        <w:rPr>
          <w:rFonts w:ascii="Calibri" w:hAnsi="Calibri"/>
          <w:sz w:val="20"/>
          <w:szCs w:val="20"/>
        </w:rPr>
        <w:t>Deniz</w:t>
      </w:r>
      <w:proofErr w:type="spellEnd"/>
      <w:r w:rsidRPr="009124AD">
        <w:rPr>
          <w:rFonts w:ascii="Calibri" w:hAnsi="Calibri"/>
          <w:sz w:val="20"/>
          <w:szCs w:val="20"/>
        </w:rPr>
        <w:t xml:space="preserve">, </w:t>
      </w:r>
      <w:proofErr w:type="spellStart"/>
      <w:r w:rsidRPr="009124AD">
        <w:rPr>
          <w:rFonts w:ascii="Calibri" w:hAnsi="Calibri"/>
          <w:sz w:val="20"/>
          <w:szCs w:val="20"/>
        </w:rPr>
        <w:t>Türk</w:t>
      </w:r>
      <w:proofErr w:type="spellEnd"/>
      <w:r w:rsidRPr="009124AD">
        <w:rPr>
          <w:rFonts w:ascii="Calibri" w:hAnsi="Calibri"/>
          <w:sz w:val="20"/>
          <w:szCs w:val="20"/>
        </w:rPr>
        <w:t xml:space="preserve"> </w:t>
      </w:r>
      <w:proofErr w:type="spellStart"/>
      <w:r w:rsidRPr="009124AD">
        <w:rPr>
          <w:rFonts w:ascii="Calibri" w:hAnsi="Calibri"/>
          <w:sz w:val="20"/>
          <w:szCs w:val="20"/>
        </w:rPr>
        <w:t>İdari</w:t>
      </w:r>
      <w:proofErr w:type="spellEnd"/>
      <w:r w:rsidRPr="009124AD">
        <w:rPr>
          <w:rFonts w:ascii="Calibri" w:hAnsi="Calibri"/>
          <w:sz w:val="20"/>
          <w:szCs w:val="20"/>
        </w:rPr>
        <w:t xml:space="preserve"> </w:t>
      </w:r>
      <w:proofErr w:type="spellStart"/>
      <w:r w:rsidRPr="009124AD">
        <w:rPr>
          <w:rFonts w:ascii="Calibri" w:hAnsi="Calibri"/>
          <w:sz w:val="20"/>
          <w:szCs w:val="20"/>
        </w:rPr>
        <w:t>Yargılama</w:t>
      </w:r>
      <w:proofErr w:type="spellEnd"/>
      <w:r w:rsidRPr="009124AD">
        <w:rPr>
          <w:rFonts w:ascii="Calibri" w:hAnsi="Calibri"/>
          <w:sz w:val="20"/>
          <w:szCs w:val="20"/>
        </w:rPr>
        <w:t xml:space="preserve"> </w:t>
      </w:r>
      <w:proofErr w:type="spellStart"/>
      <w:r w:rsidRPr="009124AD">
        <w:rPr>
          <w:rFonts w:ascii="Calibri" w:hAnsi="Calibri"/>
          <w:sz w:val="20"/>
          <w:szCs w:val="20"/>
        </w:rPr>
        <w:t>Hukukunda</w:t>
      </w:r>
      <w:proofErr w:type="spellEnd"/>
      <w:r w:rsidRPr="009124AD">
        <w:rPr>
          <w:rFonts w:ascii="Calibri" w:hAnsi="Calibri"/>
          <w:sz w:val="20"/>
          <w:szCs w:val="20"/>
        </w:rPr>
        <w:t xml:space="preserve"> </w:t>
      </w:r>
      <w:proofErr w:type="spellStart"/>
      <w:r w:rsidRPr="009124AD">
        <w:rPr>
          <w:rFonts w:ascii="Calibri" w:hAnsi="Calibri"/>
          <w:sz w:val="20"/>
          <w:szCs w:val="20"/>
        </w:rPr>
        <w:t>Bilirkişilik</w:t>
      </w:r>
      <w:proofErr w:type="spellEnd"/>
      <w:r w:rsidRPr="009124AD">
        <w:rPr>
          <w:rFonts w:ascii="Calibri" w:hAnsi="Calibri"/>
          <w:sz w:val="20"/>
          <w:szCs w:val="20"/>
        </w:rPr>
        <w:t xml:space="preserve"> [Expertise in Turkish Administr</w:t>
      </w:r>
      <w:r w:rsidR="00011D81">
        <w:rPr>
          <w:rFonts w:ascii="Calibri" w:hAnsi="Calibri"/>
          <w:sz w:val="20"/>
          <w:szCs w:val="20"/>
        </w:rPr>
        <w:t>ative Law</w:t>
      </w:r>
      <w:proofErr w:type="gramStart"/>
      <w:r w:rsidR="00011D81">
        <w:rPr>
          <w:rFonts w:ascii="Calibri" w:hAnsi="Calibri"/>
          <w:sz w:val="20"/>
          <w:szCs w:val="20"/>
        </w:rPr>
        <w:t>] ,</w:t>
      </w:r>
      <w:proofErr w:type="gramEnd"/>
      <w:r w:rsidR="00011D81">
        <w:rPr>
          <w:rFonts w:ascii="Calibri" w:hAnsi="Calibri"/>
          <w:sz w:val="20"/>
          <w:szCs w:val="20"/>
        </w:rPr>
        <w:t xml:space="preserve"> MSc, Ankara 2019. </w:t>
      </w:r>
    </w:p>
  </w:footnote>
  <w:footnote w:id="30">
    <w:p w14:paraId="43DD10BD" w14:textId="3512A5F5"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proofErr w:type="spellStart"/>
      <w:r w:rsidRPr="009124AD">
        <w:rPr>
          <w:rFonts w:ascii="Calibri" w:hAnsi="Calibri"/>
          <w:sz w:val="20"/>
          <w:szCs w:val="20"/>
        </w:rPr>
        <w:t>Mutlu</w:t>
      </w:r>
      <w:proofErr w:type="spellEnd"/>
      <w:r w:rsidRPr="009124AD">
        <w:rPr>
          <w:rFonts w:ascii="Calibri" w:hAnsi="Calibri"/>
          <w:sz w:val="20"/>
          <w:szCs w:val="20"/>
        </w:rPr>
        <w:t xml:space="preserve">, </w:t>
      </w:r>
      <w:proofErr w:type="spellStart"/>
      <w:r w:rsidRPr="009124AD">
        <w:rPr>
          <w:rFonts w:ascii="Calibri" w:hAnsi="Calibri"/>
          <w:sz w:val="20"/>
          <w:szCs w:val="20"/>
        </w:rPr>
        <w:t>Bahtiyar</w:t>
      </w:r>
      <w:proofErr w:type="spellEnd"/>
      <w:r w:rsidRPr="009124AD">
        <w:rPr>
          <w:rFonts w:ascii="Calibri" w:hAnsi="Calibri"/>
          <w:sz w:val="20"/>
          <w:szCs w:val="20"/>
        </w:rPr>
        <w:t xml:space="preserve"> Ali, </w:t>
      </w:r>
      <w:proofErr w:type="spellStart"/>
      <w:r w:rsidRPr="009124AD">
        <w:rPr>
          <w:rFonts w:ascii="Calibri" w:hAnsi="Calibri"/>
          <w:sz w:val="20"/>
          <w:szCs w:val="20"/>
        </w:rPr>
        <w:t>Tıbbi</w:t>
      </w:r>
      <w:proofErr w:type="spellEnd"/>
      <w:r w:rsidRPr="009124AD">
        <w:rPr>
          <w:rFonts w:ascii="Calibri" w:hAnsi="Calibri"/>
          <w:sz w:val="20"/>
          <w:szCs w:val="20"/>
        </w:rPr>
        <w:t xml:space="preserve"> </w:t>
      </w:r>
      <w:proofErr w:type="spellStart"/>
      <w:r w:rsidRPr="009124AD">
        <w:rPr>
          <w:rFonts w:ascii="Calibri" w:hAnsi="Calibri"/>
          <w:sz w:val="20"/>
          <w:szCs w:val="20"/>
        </w:rPr>
        <w:t>Uygulama</w:t>
      </w:r>
      <w:proofErr w:type="spellEnd"/>
      <w:r w:rsidRPr="009124AD">
        <w:rPr>
          <w:rFonts w:ascii="Calibri" w:hAnsi="Calibri"/>
          <w:sz w:val="20"/>
          <w:szCs w:val="20"/>
        </w:rPr>
        <w:t xml:space="preserve"> </w:t>
      </w:r>
      <w:proofErr w:type="spellStart"/>
      <w:r w:rsidRPr="009124AD">
        <w:rPr>
          <w:rFonts w:ascii="Calibri" w:hAnsi="Calibri"/>
          <w:sz w:val="20"/>
          <w:szCs w:val="20"/>
        </w:rPr>
        <w:t>Hatası</w:t>
      </w:r>
      <w:proofErr w:type="spellEnd"/>
      <w:r w:rsidRPr="009124AD">
        <w:rPr>
          <w:rFonts w:ascii="Calibri" w:hAnsi="Calibri"/>
          <w:sz w:val="20"/>
          <w:szCs w:val="20"/>
        </w:rPr>
        <w:t xml:space="preserve"> </w:t>
      </w:r>
      <w:proofErr w:type="spellStart"/>
      <w:r w:rsidRPr="009124AD">
        <w:rPr>
          <w:rFonts w:ascii="Calibri" w:hAnsi="Calibri"/>
          <w:sz w:val="20"/>
          <w:szCs w:val="20"/>
        </w:rPr>
        <w:t>İddialarında</w:t>
      </w:r>
      <w:proofErr w:type="spellEnd"/>
      <w:r w:rsidRPr="009124AD">
        <w:rPr>
          <w:rFonts w:ascii="Calibri" w:hAnsi="Calibri"/>
          <w:sz w:val="20"/>
          <w:szCs w:val="20"/>
        </w:rPr>
        <w:t xml:space="preserve"> </w:t>
      </w:r>
      <w:proofErr w:type="spellStart"/>
      <w:r w:rsidRPr="009124AD">
        <w:rPr>
          <w:rFonts w:ascii="Calibri" w:hAnsi="Calibri"/>
          <w:sz w:val="20"/>
          <w:szCs w:val="20"/>
        </w:rPr>
        <w:t>Bilirkişilik</w:t>
      </w:r>
      <w:proofErr w:type="spellEnd"/>
      <w:r w:rsidRPr="009124AD">
        <w:rPr>
          <w:rFonts w:ascii="Calibri" w:hAnsi="Calibri"/>
          <w:sz w:val="20"/>
          <w:szCs w:val="20"/>
        </w:rPr>
        <w:t xml:space="preserve"> </w:t>
      </w:r>
      <w:proofErr w:type="spellStart"/>
      <w:r w:rsidRPr="009124AD">
        <w:rPr>
          <w:rFonts w:ascii="Calibri" w:hAnsi="Calibri"/>
          <w:sz w:val="20"/>
          <w:szCs w:val="20"/>
        </w:rPr>
        <w:t>ve</w:t>
      </w:r>
      <w:proofErr w:type="spellEnd"/>
      <w:r w:rsidRPr="009124AD">
        <w:rPr>
          <w:rFonts w:ascii="Calibri" w:hAnsi="Calibri"/>
          <w:sz w:val="20"/>
          <w:szCs w:val="20"/>
        </w:rPr>
        <w:t xml:space="preserve"> </w:t>
      </w:r>
      <w:proofErr w:type="spellStart"/>
      <w:r w:rsidRPr="009124AD">
        <w:rPr>
          <w:rFonts w:ascii="Calibri" w:hAnsi="Calibri"/>
          <w:sz w:val="20"/>
          <w:szCs w:val="20"/>
        </w:rPr>
        <w:t>Uzman</w:t>
      </w:r>
      <w:proofErr w:type="spellEnd"/>
      <w:r w:rsidRPr="009124AD">
        <w:rPr>
          <w:rFonts w:ascii="Calibri" w:hAnsi="Calibri"/>
          <w:sz w:val="20"/>
          <w:szCs w:val="20"/>
        </w:rPr>
        <w:t xml:space="preserve"> </w:t>
      </w:r>
      <w:proofErr w:type="spellStart"/>
      <w:r w:rsidRPr="009124AD">
        <w:rPr>
          <w:rFonts w:ascii="Calibri" w:hAnsi="Calibri"/>
          <w:sz w:val="20"/>
          <w:szCs w:val="20"/>
        </w:rPr>
        <w:t>Mütaalası</w:t>
      </w:r>
      <w:proofErr w:type="spellEnd"/>
      <w:r w:rsidRPr="009124AD">
        <w:rPr>
          <w:rFonts w:ascii="Calibri" w:hAnsi="Calibri"/>
          <w:sz w:val="20"/>
          <w:szCs w:val="20"/>
        </w:rPr>
        <w:t xml:space="preserve"> [Expertise and Expert Opinion in Allegations of Medical Malpracti</w:t>
      </w:r>
      <w:r w:rsidR="00011D81">
        <w:rPr>
          <w:rFonts w:ascii="Calibri" w:hAnsi="Calibri"/>
          <w:sz w:val="20"/>
          <w:szCs w:val="20"/>
        </w:rPr>
        <w:t xml:space="preserve">ce], MD Thesis, İstanbul 2019. </w:t>
      </w:r>
    </w:p>
  </w:footnote>
  <w:footnote w:id="31">
    <w:p w14:paraId="3912DCA8" w14:textId="6A4D61E4" w:rsidR="00F54E7B" w:rsidRPr="009124AD" w:rsidRDefault="00F54E7B" w:rsidP="009124AD">
      <w:pPr>
        <w:pStyle w:val="DipnotMetni"/>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hyperlink r:id="rId10" w:history="1">
        <w:r w:rsidRPr="009124AD">
          <w:rPr>
            <w:rStyle w:val="Kpr"/>
            <w:rFonts w:ascii="Calibri" w:hAnsi="Calibri"/>
            <w:color w:val="auto"/>
            <w:sz w:val="20"/>
            <w:szCs w:val="20"/>
          </w:rPr>
          <w:t>https://bilirkisilik.adalet.gov.tr/Home/SayfaDetay/uyarma15012021024508</w:t>
        </w:r>
      </w:hyperlink>
    </w:p>
  </w:footnote>
  <w:footnote w:id="32">
    <w:p w14:paraId="7F359369" w14:textId="59DBDC39" w:rsidR="00F54E7B" w:rsidRPr="009124AD" w:rsidRDefault="00F54E7B" w:rsidP="009124AD">
      <w:pPr>
        <w:pStyle w:val="DipnotMetni"/>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hyperlink r:id="rId11" w:history="1">
        <w:r w:rsidRPr="009124AD">
          <w:rPr>
            <w:rStyle w:val="Kpr"/>
            <w:rFonts w:ascii="Calibri" w:hAnsi="Calibri"/>
            <w:color w:val="auto"/>
            <w:sz w:val="20"/>
            <w:szCs w:val="20"/>
          </w:rPr>
          <w:t>https://bilirkisilik.adalet.gov.tr/Home/SayfaDetay/gecici-sureyle-listeden-cikarma15012021024546</w:t>
        </w:r>
      </w:hyperlink>
    </w:p>
  </w:footnote>
  <w:footnote w:id="33">
    <w:p w14:paraId="75A418B6" w14:textId="0F52F0D8" w:rsidR="00F54E7B" w:rsidRPr="009124AD" w:rsidRDefault="00F54E7B" w:rsidP="009124AD">
      <w:pPr>
        <w:pStyle w:val="DipnotMetni"/>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hyperlink r:id="rId12" w:history="1">
        <w:r w:rsidRPr="009124AD">
          <w:rPr>
            <w:rStyle w:val="Kpr"/>
            <w:rFonts w:ascii="Calibri" w:hAnsi="Calibri"/>
            <w:color w:val="auto"/>
            <w:sz w:val="20"/>
            <w:szCs w:val="20"/>
          </w:rPr>
          <w:t>https://bilirkisilik.adalet.gov.tr/Home/SayfaDetay/bilirkisilik-sicilinden-ve-listesinden-cikarilma15012021024613</w:t>
        </w:r>
      </w:hyperlink>
      <w:r w:rsidRPr="009124AD">
        <w:rPr>
          <w:rFonts w:ascii="Calibri" w:hAnsi="Calibri"/>
          <w:sz w:val="20"/>
          <w:szCs w:val="20"/>
        </w:rPr>
        <w:t xml:space="preserve"> </w:t>
      </w:r>
    </w:p>
  </w:footnote>
  <w:footnote w:id="34">
    <w:p w14:paraId="1154D8FE" w14:textId="01670FEE" w:rsidR="00F54E7B" w:rsidRPr="009124AD" w:rsidRDefault="00F54E7B" w:rsidP="009124AD">
      <w:pPr>
        <w:pStyle w:val="DipnotMetni"/>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hyperlink r:id="rId13" w:history="1">
        <w:r w:rsidRPr="009124AD">
          <w:rPr>
            <w:rStyle w:val="Kpr"/>
            <w:rFonts w:ascii="Calibri" w:hAnsi="Calibri"/>
            <w:color w:val="auto"/>
            <w:sz w:val="20"/>
            <w:szCs w:val="20"/>
          </w:rPr>
          <w:t>https://bilirkisilik.adalet.gov.tr/Home/SayfaDetay/bilirkisilik-yapmaktan-yasaklanma22012021035202</w:t>
        </w:r>
      </w:hyperlink>
    </w:p>
  </w:footnote>
  <w:footnote w:id="35">
    <w:p w14:paraId="4F0DC4EB" w14:textId="29373197" w:rsidR="00F54E7B" w:rsidRPr="009124AD" w:rsidRDefault="00F54E7B" w:rsidP="009124AD">
      <w:pPr>
        <w:pStyle w:val="DipnotMetni"/>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hyperlink r:id="rId14" w:history="1">
        <w:r w:rsidRPr="009124AD">
          <w:rPr>
            <w:rStyle w:val="Kpr"/>
            <w:rFonts w:ascii="Calibri" w:hAnsi="Calibri"/>
            <w:color w:val="auto"/>
            <w:sz w:val="20"/>
            <w:szCs w:val="20"/>
          </w:rPr>
          <w:t>https://adlisicil.adalet.gov.tr/Resimler/SayfaDokuman/1692021162011adalet_ist-2020.pdf</w:t>
        </w:r>
      </w:hyperlink>
    </w:p>
  </w:footnote>
  <w:footnote w:id="36">
    <w:p w14:paraId="77F543F1" w14:textId="4DFAF4E4"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Regulation on the Implementation of the Law on the Forensic Medicine Institution, Prioritizing Files Article 20 — “Files sent to the units of the Institution for examination are put in order and taken for examination. However; the following files are prioritized in the special boards, departments and branches: a) Files with detainees, b) Promissory notes, checks and similar legal instruments related to the amount to be determined periodically by the Board of Presidents of the Forensic Medicine Institute upon the recommendation of the </w:t>
      </w:r>
      <w:r w:rsidRPr="00A92283">
        <w:rPr>
          <w:rFonts w:ascii="Calibri" w:hAnsi="Calibri"/>
          <w:sz w:val="20"/>
          <w:szCs w:val="20"/>
        </w:rPr>
        <w:t>Special Department for Medicine in the forensic document examination branch of the Special Office for Medicine,</w:t>
      </w:r>
      <w:r w:rsidRPr="009124AD">
        <w:rPr>
          <w:rFonts w:ascii="Calibri" w:hAnsi="Calibri"/>
          <w:sz w:val="20"/>
          <w:szCs w:val="20"/>
        </w:rPr>
        <w:t xml:space="preserve"> c) Case files, the urgency of which has been decided by the court by giving justification, d) Case files that are approaching the statute of limitations.”</w:t>
      </w:r>
    </w:p>
  </w:footnote>
  <w:footnote w:id="37">
    <w:p w14:paraId="6B308C48" w14:textId="2C06D762"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r w:rsidR="00F43918" w:rsidRPr="00F43918">
        <w:rPr>
          <w:rFonts w:ascii="Calibri" w:hAnsi="Calibri"/>
          <w:sz w:val="20"/>
          <w:szCs w:val="20"/>
        </w:rPr>
        <w:t xml:space="preserve">Decision E:2021/465 K:2021/4099  12th Criminal Chamber of the Court of Cassation </w:t>
      </w:r>
      <w:r w:rsidR="003F474B">
        <w:rPr>
          <w:rFonts w:ascii="Calibri" w:hAnsi="Calibri"/>
          <w:sz w:val="20"/>
          <w:szCs w:val="20"/>
        </w:rPr>
        <w:t xml:space="preserve"> (Annex 1</w:t>
      </w:r>
      <w:r w:rsidRPr="009124AD">
        <w:rPr>
          <w:rFonts w:ascii="Calibri" w:hAnsi="Calibri"/>
          <w:sz w:val="20"/>
          <w:szCs w:val="20"/>
        </w:rPr>
        <w:t xml:space="preserve">); </w:t>
      </w:r>
      <w:r w:rsidR="00F43918" w:rsidRPr="00F43918">
        <w:rPr>
          <w:rFonts w:ascii="Calibri" w:hAnsi="Calibri"/>
          <w:sz w:val="20"/>
          <w:szCs w:val="20"/>
        </w:rPr>
        <w:t xml:space="preserve">Decision E:2020/2146 K:2020/5574 12th Criminal Chamber of the Court of Cassation </w:t>
      </w:r>
      <w:r w:rsidRPr="009124AD">
        <w:rPr>
          <w:rFonts w:ascii="Calibri" w:hAnsi="Calibri"/>
          <w:sz w:val="20"/>
          <w:szCs w:val="20"/>
        </w:rPr>
        <w:t xml:space="preserve"> (</w:t>
      </w:r>
      <w:r w:rsidR="003F474B">
        <w:rPr>
          <w:rFonts w:ascii="Calibri" w:hAnsi="Calibri"/>
          <w:sz w:val="20"/>
          <w:szCs w:val="20"/>
        </w:rPr>
        <w:t>Annex</w:t>
      </w:r>
      <w:r w:rsidRPr="009124AD">
        <w:rPr>
          <w:rFonts w:ascii="Calibri" w:hAnsi="Calibri"/>
          <w:sz w:val="20"/>
          <w:szCs w:val="20"/>
        </w:rPr>
        <w:t xml:space="preserve"> </w:t>
      </w:r>
      <w:r w:rsidR="003F474B">
        <w:rPr>
          <w:rFonts w:ascii="Calibri" w:hAnsi="Calibri"/>
          <w:sz w:val="20"/>
          <w:szCs w:val="20"/>
        </w:rPr>
        <w:t>2</w:t>
      </w:r>
      <w:r w:rsidRPr="009124AD">
        <w:rPr>
          <w:rFonts w:ascii="Calibri" w:hAnsi="Calibri"/>
          <w:sz w:val="20"/>
          <w:szCs w:val="20"/>
        </w:rPr>
        <w:t xml:space="preserve">); </w:t>
      </w:r>
      <w:r w:rsidR="00F43918" w:rsidRPr="00F43918">
        <w:rPr>
          <w:rFonts w:ascii="Calibri" w:hAnsi="Calibri"/>
          <w:sz w:val="20"/>
          <w:szCs w:val="20"/>
        </w:rPr>
        <w:t>Decision</w:t>
      </w:r>
      <w:r w:rsidR="007F03EE">
        <w:rPr>
          <w:rFonts w:ascii="Calibri" w:hAnsi="Calibri"/>
          <w:sz w:val="20"/>
          <w:szCs w:val="20"/>
        </w:rPr>
        <w:t xml:space="preserve"> E:2020/1978 K:2020/5193 </w:t>
      </w:r>
      <w:r w:rsidR="00F43918" w:rsidRPr="00F43918">
        <w:rPr>
          <w:rFonts w:ascii="Calibri" w:hAnsi="Calibri"/>
          <w:sz w:val="20"/>
          <w:szCs w:val="20"/>
        </w:rPr>
        <w:t xml:space="preserve">12th Criminal Chamber of the Court of Cassation </w:t>
      </w:r>
      <w:r w:rsidRPr="009124AD">
        <w:rPr>
          <w:rFonts w:ascii="Calibri" w:hAnsi="Calibri"/>
          <w:sz w:val="20"/>
          <w:szCs w:val="20"/>
        </w:rPr>
        <w:t xml:space="preserve"> (</w:t>
      </w:r>
      <w:r w:rsidR="003F474B">
        <w:rPr>
          <w:rFonts w:ascii="Calibri" w:hAnsi="Calibri"/>
          <w:sz w:val="20"/>
          <w:szCs w:val="20"/>
        </w:rPr>
        <w:t>Annex</w:t>
      </w:r>
      <w:r w:rsidRPr="009124AD">
        <w:rPr>
          <w:rFonts w:ascii="Calibri" w:hAnsi="Calibri"/>
          <w:sz w:val="20"/>
          <w:szCs w:val="20"/>
        </w:rPr>
        <w:t xml:space="preserve"> </w:t>
      </w:r>
      <w:r w:rsidR="003F474B">
        <w:rPr>
          <w:rFonts w:ascii="Calibri" w:hAnsi="Calibri"/>
          <w:sz w:val="20"/>
          <w:szCs w:val="20"/>
        </w:rPr>
        <w:t>3</w:t>
      </w:r>
      <w:r w:rsidRPr="009124AD">
        <w:rPr>
          <w:rFonts w:ascii="Calibri" w:hAnsi="Calibri"/>
          <w:sz w:val="20"/>
          <w:szCs w:val="20"/>
        </w:rPr>
        <w:t xml:space="preserve">); </w:t>
      </w:r>
      <w:r w:rsidR="00F43918" w:rsidRPr="00F43918">
        <w:rPr>
          <w:rFonts w:ascii="Calibri" w:hAnsi="Calibri"/>
          <w:sz w:val="20"/>
          <w:szCs w:val="20"/>
        </w:rPr>
        <w:t xml:space="preserve">Decision E:2018/800 K:2019/4791 12th Criminal Chamber of the Court of Cassation </w:t>
      </w:r>
      <w:r w:rsidRPr="009124AD">
        <w:rPr>
          <w:rFonts w:ascii="Calibri" w:hAnsi="Calibri"/>
          <w:sz w:val="20"/>
          <w:szCs w:val="20"/>
        </w:rPr>
        <w:t>(</w:t>
      </w:r>
      <w:r w:rsidR="003F474B">
        <w:rPr>
          <w:rFonts w:ascii="Calibri" w:hAnsi="Calibri"/>
          <w:sz w:val="20"/>
          <w:szCs w:val="20"/>
        </w:rPr>
        <w:t>Annex</w:t>
      </w:r>
      <w:r w:rsidRPr="009124AD">
        <w:rPr>
          <w:rFonts w:ascii="Calibri" w:hAnsi="Calibri"/>
          <w:sz w:val="20"/>
          <w:szCs w:val="20"/>
        </w:rPr>
        <w:t xml:space="preserve"> </w:t>
      </w:r>
      <w:r w:rsidR="003F474B">
        <w:rPr>
          <w:rFonts w:ascii="Calibri" w:hAnsi="Calibri"/>
          <w:sz w:val="20"/>
          <w:szCs w:val="20"/>
        </w:rPr>
        <w:t>4</w:t>
      </w:r>
      <w:r w:rsidRPr="009124AD">
        <w:rPr>
          <w:rFonts w:ascii="Calibri" w:hAnsi="Calibri"/>
          <w:sz w:val="20"/>
          <w:szCs w:val="20"/>
        </w:rPr>
        <w:t xml:space="preserve">); </w:t>
      </w:r>
      <w:r w:rsidR="00F43918" w:rsidRPr="00F43918">
        <w:rPr>
          <w:rFonts w:ascii="Calibri" w:hAnsi="Calibri"/>
          <w:sz w:val="20"/>
          <w:szCs w:val="20"/>
        </w:rPr>
        <w:t xml:space="preserve">Decision E:2018/5197 K:2018/8786 12th Criminal Chamber of the Court of Cassation </w:t>
      </w:r>
      <w:r w:rsidRPr="009124AD">
        <w:rPr>
          <w:rFonts w:ascii="Calibri" w:hAnsi="Calibri"/>
          <w:sz w:val="20"/>
          <w:szCs w:val="20"/>
        </w:rPr>
        <w:t>(</w:t>
      </w:r>
      <w:r w:rsidR="003F474B">
        <w:rPr>
          <w:rFonts w:ascii="Calibri" w:hAnsi="Calibri"/>
          <w:sz w:val="20"/>
          <w:szCs w:val="20"/>
        </w:rPr>
        <w:t>Annex</w:t>
      </w:r>
      <w:r w:rsidRPr="009124AD">
        <w:rPr>
          <w:rFonts w:ascii="Calibri" w:hAnsi="Calibri"/>
          <w:sz w:val="20"/>
          <w:szCs w:val="20"/>
        </w:rPr>
        <w:t xml:space="preserve"> </w:t>
      </w:r>
      <w:r w:rsidR="003F474B">
        <w:rPr>
          <w:rFonts w:ascii="Calibri" w:hAnsi="Calibri"/>
          <w:sz w:val="20"/>
          <w:szCs w:val="20"/>
        </w:rPr>
        <w:t>5</w:t>
      </w:r>
      <w:r w:rsidRPr="009124AD">
        <w:rPr>
          <w:rFonts w:ascii="Calibri" w:hAnsi="Calibri"/>
          <w:sz w:val="20"/>
          <w:szCs w:val="20"/>
        </w:rPr>
        <w:t xml:space="preserve">); </w:t>
      </w:r>
      <w:r w:rsidR="00F43918" w:rsidRPr="00F43918">
        <w:rPr>
          <w:rFonts w:ascii="Calibri" w:hAnsi="Calibri"/>
          <w:sz w:val="20"/>
          <w:szCs w:val="20"/>
        </w:rPr>
        <w:t xml:space="preserve">Decision E:2016/7484 K:2016/12055 12th Criminal Chamber of the Court of Cassation </w:t>
      </w:r>
      <w:r w:rsidRPr="009124AD">
        <w:rPr>
          <w:rFonts w:ascii="Calibri" w:hAnsi="Calibri"/>
          <w:sz w:val="20"/>
          <w:szCs w:val="20"/>
        </w:rPr>
        <w:t>(</w:t>
      </w:r>
      <w:r w:rsidR="003F474B">
        <w:rPr>
          <w:rFonts w:ascii="Calibri" w:hAnsi="Calibri"/>
          <w:sz w:val="20"/>
          <w:szCs w:val="20"/>
        </w:rPr>
        <w:t>Annex</w:t>
      </w:r>
      <w:r w:rsidRPr="009124AD">
        <w:rPr>
          <w:rFonts w:ascii="Calibri" w:hAnsi="Calibri"/>
          <w:sz w:val="20"/>
          <w:szCs w:val="20"/>
        </w:rPr>
        <w:t xml:space="preserve"> </w:t>
      </w:r>
      <w:r w:rsidR="003F474B">
        <w:rPr>
          <w:rFonts w:ascii="Calibri" w:hAnsi="Calibri"/>
          <w:sz w:val="20"/>
          <w:szCs w:val="20"/>
        </w:rPr>
        <w:t>6</w:t>
      </w:r>
      <w:r w:rsidRPr="009124AD">
        <w:rPr>
          <w:rFonts w:ascii="Calibri" w:hAnsi="Calibri"/>
          <w:sz w:val="20"/>
          <w:szCs w:val="20"/>
        </w:rPr>
        <w:t xml:space="preserve">); </w:t>
      </w:r>
      <w:r w:rsidR="00F43918" w:rsidRPr="00F43918">
        <w:rPr>
          <w:rFonts w:ascii="Calibri" w:hAnsi="Calibri"/>
          <w:sz w:val="20"/>
          <w:szCs w:val="20"/>
        </w:rPr>
        <w:t>7.</w:t>
      </w:r>
      <w:r w:rsidR="00F43918" w:rsidRPr="00F43918">
        <w:rPr>
          <w:rFonts w:ascii="Calibri" w:hAnsi="Calibri"/>
          <w:sz w:val="20"/>
          <w:szCs w:val="20"/>
        </w:rPr>
        <w:tab/>
        <w:t>Decision E</w:t>
      </w:r>
      <w:proofErr w:type="gramStart"/>
      <w:r w:rsidR="00F43918" w:rsidRPr="00F43918">
        <w:rPr>
          <w:rFonts w:ascii="Calibri" w:hAnsi="Calibri"/>
          <w:sz w:val="20"/>
          <w:szCs w:val="20"/>
        </w:rPr>
        <w:t>:2015</w:t>
      </w:r>
      <w:proofErr w:type="gramEnd"/>
      <w:r w:rsidR="00F43918" w:rsidRPr="00F43918">
        <w:rPr>
          <w:rFonts w:ascii="Calibri" w:hAnsi="Calibri"/>
          <w:sz w:val="20"/>
          <w:szCs w:val="20"/>
        </w:rPr>
        <w:t xml:space="preserve">/3962 K:2015/8623 12th Criminal Chamber of the Court of Cassation </w:t>
      </w:r>
      <w:r w:rsidRPr="009124AD">
        <w:rPr>
          <w:rFonts w:ascii="Calibri" w:hAnsi="Calibri"/>
          <w:sz w:val="20"/>
          <w:szCs w:val="20"/>
        </w:rPr>
        <w:t xml:space="preserve"> (</w:t>
      </w:r>
      <w:r w:rsidR="003F474B">
        <w:rPr>
          <w:rFonts w:ascii="Calibri" w:hAnsi="Calibri"/>
          <w:sz w:val="20"/>
          <w:szCs w:val="20"/>
        </w:rPr>
        <w:t>Annex</w:t>
      </w:r>
      <w:r w:rsidRPr="009124AD">
        <w:rPr>
          <w:rFonts w:ascii="Calibri" w:hAnsi="Calibri"/>
          <w:sz w:val="20"/>
          <w:szCs w:val="20"/>
        </w:rPr>
        <w:t xml:space="preserve"> </w:t>
      </w:r>
      <w:r w:rsidR="003F474B">
        <w:rPr>
          <w:rFonts w:ascii="Calibri" w:hAnsi="Calibri"/>
          <w:sz w:val="20"/>
          <w:szCs w:val="20"/>
        </w:rPr>
        <w:t>7</w:t>
      </w:r>
      <w:r w:rsidRPr="009124AD">
        <w:rPr>
          <w:rFonts w:ascii="Calibri" w:hAnsi="Calibri"/>
          <w:sz w:val="20"/>
          <w:szCs w:val="20"/>
        </w:rPr>
        <w:t xml:space="preserve">); </w:t>
      </w:r>
      <w:r w:rsidR="00F43918" w:rsidRPr="00F43918">
        <w:rPr>
          <w:rFonts w:ascii="Calibri" w:hAnsi="Calibri"/>
          <w:sz w:val="20"/>
          <w:szCs w:val="20"/>
        </w:rPr>
        <w:t>8.</w:t>
      </w:r>
      <w:r w:rsidR="00F43918" w:rsidRPr="00F43918">
        <w:rPr>
          <w:rFonts w:ascii="Calibri" w:hAnsi="Calibri"/>
          <w:sz w:val="20"/>
          <w:szCs w:val="20"/>
        </w:rPr>
        <w:tab/>
        <w:t>Decision E</w:t>
      </w:r>
      <w:proofErr w:type="gramStart"/>
      <w:r w:rsidR="00F43918" w:rsidRPr="00F43918">
        <w:rPr>
          <w:rFonts w:ascii="Calibri" w:hAnsi="Calibri"/>
          <w:sz w:val="20"/>
          <w:szCs w:val="20"/>
        </w:rPr>
        <w:t>:2012</w:t>
      </w:r>
      <w:proofErr w:type="gramEnd"/>
      <w:r w:rsidR="00F43918" w:rsidRPr="00F43918">
        <w:rPr>
          <w:rFonts w:ascii="Calibri" w:hAnsi="Calibri"/>
          <w:sz w:val="20"/>
          <w:szCs w:val="20"/>
        </w:rPr>
        <w:t xml:space="preserve">/20408 K:2012/19875 12th Criminal Chamber of the Court of Cassation </w:t>
      </w:r>
      <w:r w:rsidRPr="009124AD">
        <w:rPr>
          <w:rFonts w:ascii="Calibri" w:hAnsi="Calibri"/>
          <w:sz w:val="20"/>
          <w:szCs w:val="20"/>
        </w:rPr>
        <w:t xml:space="preserve"> (</w:t>
      </w:r>
      <w:r w:rsidR="003F474B">
        <w:rPr>
          <w:rFonts w:ascii="Calibri" w:hAnsi="Calibri"/>
          <w:sz w:val="20"/>
          <w:szCs w:val="20"/>
        </w:rPr>
        <w:t>Annex</w:t>
      </w:r>
      <w:r w:rsidRPr="009124AD">
        <w:rPr>
          <w:rFonts w:ascii="Calibri" w:hAnsi="Calibri"/>
          <w:sz w:val="20"/>
          <w:szCs w:val="20"/>
        </w:rPr>
        <w:t xml:space="preserve"> </w:t>
      </w:r>
      <w:r w:rsidR="003F474B">
        <w:rPr>
          <w:rFonts w:ascii="Calibri" w:hAnsi="Calibri"/>
          <w:sz w:val="20"/>
          <w:szCs w:val="20"/>
        </w:rPr>
        <w:t>8</w:t>
      </w:r>
      <w:r w:rsidRPr="009124AD">
        <w:rPr>
          <w:rFonts w:ascii="Calibri" w:hAnsi="Calibri"/>
          <w:sz w:val="20"/>
          <w:szCs w:val="20"/>
        </w:rPr>
        <w:t>).</w:t>
      </w:r>
    </w:p>
  </w:footnote>
  <w:footnote w:id="38">
    <w:p w14:paraId="488F0873" w14:textId="4B845842"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proofErr w:type="gramStart"/>
      <w:r w:rsidRPr="009124AD">
        <w:rPr>
          <w:rFonts w:ascii="Calibri" w:hAnsi="Calibri" w:cs="Times New Roman"/>
          <w:sz w:val="20"/>
          <w:szCs w:val="20"/>
        </w:rPr>
        <w:t xml:space="preserve">Decision of inadmissibility on Nail </w:t>
      </w:r>
      <w:proofErr w:type="spellStart"/>
      <w:r w:rsidRPr="009124AD">
        <w:rPr>
          <w:rFonts w:ascii="Calibri" w:hAnsi="Calibri" w:cs="Times New Roman"/>
          <w:sz w:val="20"/>
          <w:szCs w:val="20"/>
        </w:rPr>
        <w:t>Artuç’s</w:t>
      </w:r>
      <w:proofErr w:type="spellEnd"/>
      <w:r w:rsidRPr="009124AD">
        <w:rPr>
          <w:rFonts w:ascii="Calibri" w:hAnsi="Calibri" w:cs="Times New Roman"/>
          <w:sz w:val="20"/>
          <w:szCs w:val="20"/>
        </w:rPr>
        <w:t xml:space="preserve"> individual application (</w:t>
      </w:r>
      <w:r w:rsidRPr="009124AD">
        <w:rPr>
          <w:rFonts w:ascii="Calibri" w:hAnsi="Calibri"/>
          <w:sz w:val="20"/>
          <w:szCs w:val="20"/>
        </w:rPr>
        <w:t>2013/2839</w:t>
      </w:r>
      <w:r w:rsidRPr="009124AD">
        <w:rPr>
          <w:rFonts w:ascii="Calibri" w:hAnsi="Calibri"/>
          <w:sz w:val="20"/>
          <w:szCs w:val="20"/>
          <w:shd w:val="clear" w:color="auto" w:fill="FFFFFF"/>
        </w:rPr>
        <w:t>), Constitutional Court, Division 1, April 3</w:t>
      </w:r>
      <w:r w:rsidRPr="009124AD">
        <w:rPr>
          <w:rFonts w:ascii="Calibri" w:hAnsi="Calibri"/>
          <w:sz w:val="20"/>
          <w:szCs w:val="20"/>
          <w:shd w:val="clear" w:color="auto" w:fill="FFFFFF"/>
          <w:vertAlign w:val="superscript"/>
        </w:rPr>
        <w:t>rd</w:t>
      </w:r>
      <w:r w:rsidRPr="009124AD">
        <w:rPr>
          <w:rFonts w:ascii="Calibri" w:hAnsi="Calibri"/>
          <w:sz w:val="20"/>
          <w:szCs w:val="20"/>
          <w:shd w:val="clear" w:color="auto" w:fill="FFFFFF"/>
        </w:rPr>
        <w:t>, 2014.</w:t>
      </w:r>
      <w:proofErr w:type="gramEnd"/>
      <w:r w:rsidRPr="009124AD">
        <w:rPr>
          <w:rFonts w:ascii="Calibri" w:hAnsi="Calibri"/>
          <w:sz w:val="20"/>
          <w:szCs w:val="20"/>
          <w:shd w:val="clear" w:color="auto" w:fill="FFFFFF"/>
        </w:rPr>
        <w:t xml:space="preserve"> In this decision, the Constitutional Court stated that “… 46. [i]f there is a violation of the right to life in terms of the alleged violation of the obligation to protect life by not making the correct diagnosis on time and not applying the necessary treatment, it is primarily the responsibility of the administrative authorities and the courts of instance to remedy this violation (App. </w:t>
      </w:r>
      <w:proofErr w:type="gramStart"/>
      <w:r w:rsidRPr="009124AD">
        <w:rPr>
          <w:rFonts w:ascii="Calibri" w:hAnsi="Calibri"/>
          <w:sz w:val="20"/>
          <w:szCs w:val="20"/>
          <w:shd w:val="clear" w:color="auto" w:fill="FFFFFF"/>
        </w:rPr>
        <w:t>No: 2013/2075, December 12</w:t>
      </w:r>
      <w:r w:rsidRPr="009124AD">
        <w:rPr>
          <w:rFonts w:ascii="Calibri" w:hAnsi="Calibri"/>
          <w:sz w:val="20"/>
          <w:szCs w:val="20"/>
          <w:shd w:val="clear" w:color="auto" w:fill="FFFFFF"/>
          <w:vertAlign w:val="superscript"/>
        </w:rPr>
        <w:t>th</w:t>
      </w:r>
      <w:r w:rsidRPr="009124AD">
        <w:rPr>
          <w:rFonts w:ascii="Calibri" w:hAnsi="Calibri"/>
          <w:sz w:val="20"/>
          <w:szCs w:val="20"/>
          <w:shd w:val="clear" w:color="auto" w:fill="FFFFFF"/>
        </w:rPr>
        <w:t>, 2013, § 75).</w:t>
      </w:r>
      <w:proofErr w:type="gramEnd"/>
      <w:r w:rsidRPr="009124AD">
        <w:rPr>
          <w:rFonts w:ascii="Calibri" w:hAnsi="Calibri"/>
          <w:sz w:val="20"/>
          <w:szCs w:val="20"/>
          <w:shd w:val="clear" w:color="auto" w:fill="FFFFFF"/>
        </w:rPr>
        <w:t xml:space="preserve"> Although the applicant filed a criminal complaint against the doctor, whom he claimed was negligent, and requested a criminal investigation, it is seen that he did not apply to any legal remedy regarding the administrative and legal responsibilities of the doctor or the hospital. Considering the </w:t>
      </w:r>
      <w:r w:rsidR="00344D50">
        <w:rPr>
          <w:rFonts w:ascii="Calibri" w:hAnsi="Calibri"/>
          <w:sz w:val="20"/>
          <w:szCs w:val="20"/>
          <w:shd w:val="clear" w:color="auto" w:fill="FFFFFF"/>
        </w:rPr>
        <w:t>case-law</w:t>
      </w:r>
      <w:r w:rsidRPr="009124AD">
        <w:rPr>
          <w:rFonts w:ascii="Calibri" w:hAnsi="Calibri"/>
          <w:sz w:val="20"/>
          <w:szCs w:val="20"/>
          <w:shd w:val="clear" w:color="auto" w:fill="FFFFFF"/>
        </w:rPr>
        <w:t xml:space="preserve"> of the Court of Cassation (§ 24-27) on the subject mentioned above, depending on the person to whom the enmity is directed against acts and omissions that do not constitute a crime under the penal laws, remedies for damages incurred before administrative and civil courts against the administration or individuals based on </w:t>
      </w:r>
      <w:r w:rsidR="0071303C">
        <w:rPr>
          <w:rFonts w:ascii="Calibri" w:hAnsi="Calibri"/>
          <w:sz w:val="20"/>
          <w:szCs w:val="20"/>
          <w:shd w:val="clear" w:color="auto" w:fill="FFFFFF"/>
        </w:rPr>
        <w:t>error</w:t>
      </w:r>
      <w:r w:rsidRPr="009124AD">
        <w:rPr>
          <w:rFonts w:ascii="Calibri" w:hAnsi="Calibri"/>
          <w:sz w:val="20"/>
          <w:szCs w:val="20"/>
          <w:shd w:val="clear" w:color="auto" w:fill="FFFFFF"/>
        </w:rPr>
        <w:t xml:space="preserve"> or even strict liability are regulated under Law No. 2577 and 6098 (§ 21-23) (App. </w:t>
      </w:r>
      <w:proofErr w:type="gramStart"/>
      <w:r w:rsidRPr="009124AD">
        <w:rPr>
          <w:rFonts w:ascii="Calibri" w:hAnsi="Calibri"/>
          <w:sz w:val="20"/>
          <w:szCs w:val="20"/>
          <w:shd w:val="clear" w:color="auto" w:fill="FFFFFF"/>
        </w:rPr>
        <w:t>No: 2013/2075, December 4</w:t>
      </w:r>
      <w:r w:rsidRPr="009124AD">
        <w:rPr>
          <w:rFonts w:ascii="Calibri" w:hAnsi="Calibri"/>
          <w:sz w:val="20"/>
          <w:szCs w:val="20"/>
          <w:shd w:val="clear" w:color="auto" w:fill="FFFFFF"/>
          <w:vertAlign w:val="superscript"/>
        </w:rPr>
        <w:t>th</w:t>
      </w:r>
      <w:r w:rsidRPr="009124AD">
        <w:rPr>
          <w:rFonts w:ascii="Calibri" w:hAnsi="Calibri"/>
          <w:sz w:val="20"/>
          <w:szCs w:val="20"/>
          <w:shd w:val="clear" w:color="auto" w:fill="FFFFFF"/>
        </w:rPr>
        <w:t>, 2013, § 74).</w:t>
      </w:r>
      <w:proofErr w:type="gramEnd"/>
      <w:r w:rsidRPr="009124AD">
        <w:rPr>
          <w:rFonts w:ascii="Calibri" w:hAnsi="Calibri"/>
          <w:sz w:val="20"/>
          <w:szCs w:val="20"/>
          <w:shd w:val="clear" w:color="auto" w:fill="FFFFFF"/>
        </w:rPr>
        <w:t xml:space="preserve"> 47. In the case subject to the application, there are opportunities to apply to the mentioned legal and administrative legal remedies for the applicant, who applied to the relevant legal remedy for the determination of criminal responsibility but could not get any results. For this reason, it cannot be said that all of the administrative and judicial remedies stipulated in the law for the action, act or omission alleged to have caused the violation in terms of medical intervention have been exhausted before the individual application is made.</w:t>
      </w:r>
      <w:r w:rsidRPr="009124AD">
        <w:rPr>
          <w:rFonts w:ascii="Calibri" w:hAnsi="Calibri"/>
          <w:sz w:val="20"/>
          <w:szCs w:val="20"/>
        </w:rPr>
        <w:t xml:space="preserve"> </w:t>
      </w:r>
      <w:r w:rsidRPr="009124AD">
        <w:rPr>
          <w:rFonts w:ascii="Calibri" w:hAnsi="Calibri"/>
          <w:sz w:val="20"/>
          <w:szCs w:val="20"/>
          <w:shd w:val="clear" w:color="auto" w:fill="FFFFFF"/>
        </w:rPr>
        <w:t xml:space="preserve">48. For the reasons explained, it should be decided that the allegations that the right to life has been violated by not providing timely and adequate treatment services are inadmissible because ‘recourses have not been exhausted.’” In the more recent application, </w:t>
      </w:r>
      <w:proofErr w:type="spellStart"/>
      <w:r w:rsidRPr="009124AD">
        <w:rPr>
          <w:rFonts w:ascii="Calibri" w:hAnsi="Calibri"/>
          <w:sz w:val="20"/>
          <w:szCs w:val="20"/>
          <w:shd w:val="clear" w:color="auto" w:fill="FFFFFF"/>
        </w:rPr>
        <w:t>Ahmet</w:t>
      </w:r>
      <w:proofErr w:type="spellEnd"/>
      <w:r w:rsidRPr="009124AD">
        <w:rPr>
          <w:rFonts w:ascii="Calibri" w:hAnsi="Calibri"/>
          <w:sz w:val="20"/>
          <w:szCs w:val="20"/>
          <w:shd w:val="clear" w:color="auto" w:fill="FFFFFF"/>
        </w:rPr>
        <w:t xml:space="preserve"> </w:t>
      </w:r>
      <w:proofErr w:type="spellStart"/>
      <w:r w:rsidRPr="009124AD">
        <w:rPr>
          <w:rFonts w:ascii="Calibri" w:hAnsi="Calibri"/>
          <w:sz w:val="20"/>
          <w:szCs w:val="20"/>
          <w:shd w:val="clear" w:color="auto" w:fill="FFFFFF"/>
        </w:rPr>
        <w:t>Akgün</w:t>
      </w:r>
      <w:proofErr w:type="spellEnd"/>
      <w:r w:rsidRPr="009124AD">
        <w:rPr>
          <w:rFonts w:ascii="Calibri" w:hAnsi="Calibri"/>
          <w:sz w:val="20"/>
          <w:szCs w:val="20"/>
          <w:shd w:val="clear" w:color="auto" w:fill="FFFFFF"/>
        </w:rPr>
        <w:t xml:space="preserve"> and Others 2015/16235 individual application, in its decision of inadmissibility on July 4</w:t>
      </w:r>
      <w:r w:rsidRPr="009124AD">
        <w:rPr>
          <w:rFonts w:ascii="Calibri" w:hAnsi="Calibri"/>
          <w:sz w:val="20"/>
          <w:szCs w:val="20"/>
          <w:shd w:val="clear" w:color="auto" w:fill="FFFFFF"/>
          <w:vertAlign w:val="superscript"/>
        </w:rPr>
        <w:t>th</w:t>
      </w:r>
      <w:r w:rsidRPr="009124AD">
        <w:rPr>
          <w:rFonts w:ascii="Calibri" w:hAnsi="Calibri"/>
          <w:sz w:val="20"/>
          <w:szCs w:val="20"/>
          <w:shd w:val="clear" w:color="auto" w:fill="FFFFFF"/>
        </w:rPr>
        <w:t xml:space="preserve">, 2019, the Constitutional Court, Division 2 stated that “71. As a matter of fact, the Constitutional Court has stated in many previous decisions that in cases of death as a result of malpractice and negligence, the means of compensation, which can both determine the responsibility of the relevant health personnel and provide appropriate reparation by paying the damage, should be exhausted first by the relatives of the deceased. </w:t>
      </w:r>
      <w:r w:rsidRPr="009124AD">
        <w:rPr>
          <w:rFonts w:ascii="Calibri" w:eastAsia="Times New Roman" w:hAnsi="Calibri" w:cstheme="minorHAnsi"/>
          <w:sz w:val="20"/>
          <w:szCs w:val="20"/>
          <w:lang w:eastAsia="tr-TR"/>
        </w:rPr>
        <w:t>(</w:t>
      </w:r>
      <w:proofErr w:type="spellStart"/>
      <w:r w:rsidRPr="009124AD">
        <w:rPr>
          <w:rFonts w:ascii="Calibri" w:eastAsia="Times New Roman" w:hAnsi="Calibri" w:cstheme="minorHAnsi"/>
          <w:i/>
          <w:iCs/>
          <w:sz w:val="20"/>
          <w:szCs w:val="20"/>
          <w:lang w:eastAsia="tr-TR"/>
        </w:rPr>
        <w:t>Özer</w:t>
      </w:r>
      <w:proofErr w:type="spellEnd"/>
      <w:r w:rsidRPr="009124AD">
        <w:rPr>
          <w:rFonts w:ascii="Calibri" w:eastAsia="Times New Roman" w:hAnsi="Calibri" w:cstheme="minorHAnsi"/>
          <w:i/>
          <w:iCs/>
          <w:sz w:val="20"/>
          <w:szCs w:val="20"/>
          <w:lang w:eastAsia="tr-TR"/>
        </w:rPr>
        <w:t xml:space="preserve"> </w:t>
      </w:r>
      <w:proofErr w:type="spellStart"/>
      <w:r w:rsidRPr="009124AD">
        <w:rPr>
          <w:rFonts w:ascii="Calibri" w:eastAsia="Times New Roman" w:hAnsi="Calibri" w:cstheme="minorHAnsi"/>
          <w:i/>
          <w:iCs/>
          <w:sz w:val="20"/>
          <w:szCs w:val="20"/>
          <w:lang w:eastAsia="tr-TR"/>
        </w:rPr>
        <w:t>Er</w:t>
      </w:r>
      <w:proofErr w:type="spellEnd"/>
      <w:r w:rsidRPr="009124AD">
        <w:rPr>
          <w:rFonts w:ascii="Calibri" w:eastAsia="Times New Roman" w:hAnsi="Calibri" w:cstheme="minorHAnsi"/>
          <w:i/>
          <w:iCs/>
          <w:sz w:val="20"/>
          <w:szCs w:val="20"/>
          <w:lang w:eastAsia="tr-TR"/>
        </w:rPr>
        <w:t> </w:t>
      </w:r>
      <w:r w:rsidR="00A721E1" w:rsidRPr="00A721E1">
        <w:rPr>
          <w:rFonts w:ascii="Calibri" w:eastAsia="Times New Roman" w:hAnsi="Calibri" w:cstheme="minorHAnsi"/>
          <w:sz w:val="20"/>
          <w:szCs w:val="20"/>
          <w:lang w:eastAsia="tr-TR"/>
        </w:rPr>
        <w:t>[PA</w:t>
      </w:r>
      <w:r w:rsidRPr="00A721E1">
        <w:rPr>
          <w:rFonts w:ascii="Calibri" w:eastAsia="Times New Roman" w:hAnsi="Calibri" w:cstheme="minorHAnsi"/>
          <w:sz w:val="20"/>
          <w:szCs w:val="20"/>
          <w:lang w:eastAsia="tr-TR"/>
        </w:rPr>
        <w:t>]</w:t>
      </w:r>
      <w:r w:rsidRPr="00A721E1">
        <w:rPr>
          <w:rFonts w:ascii="Calibri" w:eastAsia="Times New Roman" w:hAnsi="Calibri" w:cstheme="minorHAnsi"/>
          <w:i/>
          <w:iCs/>
          <w:sz w:val="20"/>
          <w:szCs w:val="20"/>
          <w:lang w:eastAsia="tr-TR"/>
        </w:rPr>
        <w:t>,</w:t>
      </w:r>
      <w:r w:rsidRPr="009124AD">
        <w:rPr>
          <w:rFonts w:ascii="Calibri" w:eastAsia="Times New Roman" w:hAnsi="Calibri" w:cstheme="minorHAnsi"/>
          <w:sz w:val="20"/>
          <w:szCs w:val="20"/>
          <w:lang w:eastAsia="tr-TR"/>
        </w:rPr>
        <w:t> App. No: 2014/11770, March 15</w:t>
      </w:r>
      <w:r w:rsidRPr="009124AD">
        <w:rPr>
          <w:rFonts w:ascii="Calibri" w:eastAsia="Times New Roman" w:hAnsi="Calibri" w:cstheme="minorHAnsi"/>
          <w:sz w:val="20"/>
          <w:szCs w:val="20"/>
          <w:vertAlign w:val="superscript"/>
          <w:lang w:eastAsia="tr-TR"/>
        </w:rPr>
        <w:t>th</w:t>
      </w:r>
      <w:r w:rsidRPr="009124AD">
        <w:rPr>
          <w:rFonts w:ascii="Calibri" w:eastAsia="Times New Roman" w:hAnsi="Calibri" w:cstheme="minorHAnsi"/>
          <w:sz w:val="20"/>
          <w:szCs w:val="20"/>
          <w:lang w:eastAsia="tr-TR"/>
        </w:rPr>
        <w:t>, 2018, §§ 42-66; </w:t>
      </w:r>
      <w:proofErr w:type="spellStart"/>
      <w:r w:rsidRPr="009124AD">
        <w:rPr>
          <w:rFonts w:ascii="Calibri" w:eastAsia="Times New Roman" w:hAnsi="Calibri" w:cstheme="minorHAnsi"/>
          <w:i/>
          <w:iCs/>
          <w:sz w:val="20"/>
          <w:szCs w:val="20"/>
          <w:lang w:eastAsia="tr-TR"/>
        </w:rPr>
        <w:t>Berat</w:t>
      </w:r>
      <w:proofErr w:type="spellEnd"/>
      <w:r w:rsidRPr="009124AD">
        <w:rPr>
          <w:rFonts w:ascii="Calibri" w:eastAsia="Times New Roman" w:hAnsi="Calibri" w:cstheme="minorHAnsi"/>
          <w:i/>
          <w:iCs/>
          <w:sz w:val="20"/>
          <w:szCs w:val="20"/>
          <w:lang w:eastAsia="tr-TR"/>
        </w:rPr>
        <w:t> </w:t>
      </w:r>
      <w:proofErr w:type="spellStart"/>
      <w:r w:rsidRPr="009124AD">
        <w:rPr>
          <w:rFonts w:ascii="Calibri" w:eastAsia="Times New Roman" w:hAnsi="Calibri" w:cstheme="minorHAnsi"/>
          <w:i/>
          <w:iCs/>
          <w:sz w:val="20"/>
          <w:szCs w:val="20"/>
          <w:lang w:eastAsia="tr-TR"/>
        </w:rPr>
        <w:t>Ağardan</w:t>
      </w:r>
      <w:proofErr w:type="spellEnd"/>
      <w:r w:rsidRPr="009124AD">
        <w:rPr>
          <w:rFonts w:ascii="Calibri" w:eastAsia="Times New Roman" w:hAnsi="Calibri" w:cstheme="minorHAnsi"/>
          <w:sz w:val="20"/>
          <w:szCs w:val="20"/>
          <w:lang w:eastAsia="tr-TR"/>
        </w:rPr>
        <w:t>, App. No: 2014/11076, October 27</w:t>
      </w:r>
      <w:r w:rsidRPr="009124AD">
        <w:rPr>
          <w:rFonts w:ascii="Calibri" w:eastAsia="Times New Roman" w:hAnsi="Calibri" w:cstheme="minorHAnsi"/>
          <w:sz w:val="20"/>
          <w:szCs w:val="20"/>
          <w:vertAlign w:val="superscript"/>
          <w:lang w:eastAsia="tr-TR"/>
        </w:rPr>
        <w:t>th</w:t>
      </w:r>
      <w:r w:rsidRPr="009124AD">
        <w:rPr>
          <w:rFonts w:ascii="Calibri" w:eastAsia="Times New Roman" w:hAnsi="Calibri" w:cstheme="minorHAnsi"/>
          <w:sz w:val="20"/>
          <w:szCs w:val="20"/>
          <w:lang w:eastAsia="tr-TR"/>
        </w:rPr>
        <w:t>, 2016, §§ 18-32). 72. In the case, the applicants made an individual application after the criminal investigation carried out about the incident that resulted in the death of their relatives. The applicants did not submit any information and documents to the Constitutional Court regarding that they exhausted the full remedy action, which is one of the existing legal remedies in the Turkish legal system, which can both determine the liability of the administration and, if necessary, ensure the payment of damages. In this case, it cannot be said that all of the judicial remedies stipulated in the law in terms of complaints regarding the lack of protection of the right to life have been exhausted before the individual application is made. 73. For these reasons, it should be decided that this part of the application is inadmissible due to the failure to exhaust the remedies without further examination in terms of other admissib</w:t>
      </w:r>
      <w:r w:rsidR="003F474B">
        <w:rPr>
          <w:rFonts w:ascii="Calibri" w:eastAsia="Times New Roman" w:hAnsi="Calibri" w:cstheme="minorHAnsi"/>
          <w:sz w:val="20"/>
          <w:szCs w:val="20"/>
          <w:lang w:eastAsia="tr-TR"/>
        </w:rPr>
        <w:t xml:space="preserve">ility conditions.” </w:t>
      </w:r>
      <w:r w:rsidRPr="009124AD">
        <w:rPr>
          <w:rFonts w:ascii="Calibri" w:eastAsia="Times New Roman" w:hAnsi="Calibri" w:cstheme="minorHAnsi"/>
          <w:sz w:val="20"/>
          <w:szCs w:val="20"/>
          <w:lang w:eastAsia="tr-TR"/>
        </w:rPr>
        <w:t xml:space="preserve"> </w:t>
      </w:r>
    </w:p>
  </w:footnote>
  <w:footnote w:id="39">
    <w:p w14:paraId="0C6F71B5" w14:textId="46239F9F" w:rsidR="00387358" w:rsidRPr="00387358" w:rsidRDefault="00387358">
      <w:pPr>
        <w:pStyle w:val="DipnotMetni"/>
        <w:rPr>
          <w:lang w:val="tr-TR"/>
        </w:rPr>
      </w:pPr>
      <w:r>
        <w:rPr>
          <w:rStyle w:val="DipnotBavurusu"/>
        </w:rPr>
        <w:footnoteRef/>
      </w:r>
      <w:r>
        <w:t xml:space="preserve"> </w:t>
      </w:r>
      <w:hyperlink r:id="rId15" w:history="1">
        <w:r w:rsidRPr="00387358">
          <w:rPr>
            <w:rStyle w:val="Kpr"/>
            <w:sz w:val="20"/>
            <w:szCs w:val="20"/>
          </w:rPr>
          <w:t>https://teftis.saglik.gov.tr/TR-26156/mufettisler.html</w:t>
        </w:r>
      </w:hyperlink>
      <w:r>
        <w:t xml:space="preserve"> </w:t>
      </w:r>
    </w:p>
  </w:footnote>
  <w:footnote w:id="40">
    <w:p w14:paraId="7F1BCCD4" w14:textId="1D6975C6"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The violation decision for </w:t>
      </w:r>
      <w:proofErr w:type="spellStart"/>
      <w:r w:rsidRPr="009124AD">
        <w:rPr>
          <w:rFonts w:ascii="Calibri" w:hAnsi="Calibri"/>
          <w:sz w:val="20"/>
          <w:szCs w:val="20"/>
        </w:rPr>
        <w:t>Şahin</w:t>
      </w:r>
      <w:proofErr w:type="spellEnd"/>
      <w:r w:rsidRPr="009124AD">
        <w:rPr>
          <w:rFonts w:ascii="Calibri" w:hAnsi="Calibri"/>
          <w:sz w:val="20"/>
          <w:szCs w:val="20"/>
        </w:rPr>
        <w:t xml:space="preserve"> </w:t>
      </w:r>
      <w:proofErr w:type="spellStart"/>
      <w:r w:rsidRPr="009124AD">
        <w:rPr>
          <w:rFonts w:ascii="Calibri" w:hAnsi="Calibri"/>
          <w:sz w:val="20"/>
          <w:szCs w:val="20"/>
        </w:rPr>
        <w:t>Aydoğan's</w:t>
      </w:r>
      <w:proofErr w:type="spellEnd"/>
      <w:r w:rsidRPr="009124AD">
        <w:rPr>
          <w:rFonts w:ascii="Calibri" w:hAnsi="Calibri"/>
          <w:sz w:val="20"/>
          <w:szCs w:val="20"/>
        </w:rPr>
        <w:t xml:space="preserve"> 2017/17832 individual application, the Constitutional Court, Division 2, </w:t>
      </w:r>
      <w:proofErr w:type="gramStart"/>
      <w:r w:rsidRPr="009124AD">
        <w:rPr>
          <w:rFonts w:ascii="Calibri" w:hAnsi="Calibri"/>
          <w:sz w:val="20"/>
          <w:szCs w:val="20"/>
        </w:rPr>
        <w:t>June</w:t>
      </w:r>
      <w:proofErr w:type="gramEnd"/>
      <w:r w:rsidRPr="009124AD">
        <w:rPr>
          <w:rFonts w:ascii="Calibri" w:hAnsi="Calibri"/>
          <w:sz w:val="20"/>
          <w:szCs w:val="20"/>
        </w:rPr>
        <w:t xml:space="preserve"> 29</w:t>
      </w:r>
      <w:r w:rsidRPr="009124AD">
        <w:rPr>
          <w:rFonts w:ascii="Calibri" w:hAnsi="Calibri"/>
          <w:sz w:val="20"/>
          <w:szCs w:val="20"/>
          <w:vertAlign w:val="superscript"/>
        </w:rPr>
        <w:t>th</w:t>
      </w:r>
      <w:r w:rsidR="003F474B">
        <w:rPr>
          <w:rFonts w:ascii="Calibri" w:hAnsi="Calibri"/>
          <w:sz w:val="20"/>
          <w:szCs w:val="20"/>
        </w:rPr>
        <w:t>, 2021</w:t>
      </w:r>
      <w:r w:rsidRPr="009124AD">
        <w:rPr>
          <w:rFonts w:ascii="Calibri" w:hAnsi="Calibri"/>
          <w:sz w:val="20"/>
          <w:szCs w:val="20"/>
        </w:rPr>
        <w:t xml:space="preserve">: “… 45. With these explanations, when the trial process is evaluated as a whole, it is seen that the applicant's objections and demands for the expert report that were not ill-founded were not met, in this case, the claims essential for the settlement of the dispute were not examined with the care and depth required by Article 17 of the Constitution, and sufficient and relevant justification specific to the dispute was not presented. Since it cannot be said that the public authorities have fulfilled their positive obligations in terms of the case, it is concluded that the person's right to protect their material and spiritual existence has been violated.” The violation decision for Murat </w:t>
      </w:r>
      <w:proofErr w:type="spellStart"/>
      <w:r w:rsidRPr="009124AD">
        <w:rPr>
          <w:rFonts w:ascii="Calibri" w:hAnsi="Calibri"/>
          <w:sz w:val="20"/>
          <w:szCs w:val="20"/>
        </w:rPr>
        <w:t>Aydoğdu</w:t>
      </w:r>
      <w:proofErr w:type="spellEnd"/>
      <w:r w:rsidRPr="009124AD">
        <w:rPr>
          <w:rFonts w:ascii="Calibri" w:hAnsi="Calibri"/>
          <w:sz w:val="20"/>
          <w:szCs w:val="20"/>
        </w:rPr>
        <w:t xml:space="preserve"> and </w:t>
      </w:r>
      <w:proofErr w:type="spellStart"/>
      <w:r w:rsidRPr="009124AD">
        <w:rPr>
          <w:rFonts w:ascii="Calibri" w:hAnsi="Calibri"/>
          <w:sz w:val="20"/>
          <w:szCs w:val="20"/>
        </w:rPr>
        <w:t>Oktay</w:t>
      </w:r>
      <w:proofErr w:type="spellEnd"/>
      <w:r w:rsidRPr="009124AD">
        <w:rPr>
          <w:rFonts w:ascii="Calibri" w:hAnsi="Calibri"/>
          <w:sz w:val="20"/>
          <w:szCs w:val="20"/>
        </w:rPr>
        <w:t xml:space="preserve"> </w:t>
      </w:r>
      <w:proofErr w:type="spellStart"/>
      <w:r w:rsidRPr="009124AD">
        <w:rPr>
          <w:rFonts w:ascii="Calibri" w:hAnsi="Calibri"/>
          <w:sz w:val="20"/>
          <w:szCs w:val="20"/>
        </w:rPr>
        <w:t>Aydoğdu</w:t>
      </w:r>
      <w:proofErr w:type="spellEnd"/>
      <w:r w:rsidRPr="009124AD">
        <w:rPr>
          <w:rFonts w:ascii="Calibri" w:hAnsi="Calibri"/>
          <w:sz w:val="20"/>
          <w:szCs w:val="20"/>
        </w:rPr>
        <w:t xml:space="preserve"> 2018/3285 individual application, the Constitutional Court, Division 2, June 6</w:t>
      </w:r>
      <w:r w:rsidRPr="009124AD">
        <w:rPr>
          <w:rFonts w:ascii="Calibri" w:hAnsi="Calibri"/>
          <w:sz w:val="20"/>
          <w:szCs w:val="20"/>
          <w:vertAlign w:val="superscript"/>
        </w:rPr>
        <w:t>th</w:t>
      </w:r>
      <w:r w:rsidR="003F474B">
        <w:rPr>
          <w:rFonts w:ascii="Calibri" w:hAnsi="Calibri"/>
          <w:sz w:val="20"/>
          <w:szCs w:val="20"/>
        </w:rPr>
        <w:t>, 2021</w:t>
      </w:r>
      <w:r w:rsidRPr="009124AD">
        <w:rPr>
          <w:rFonts w:ascii="Calibri" w:hAnsi="Calibri"/>
          <w:sz w:val="20"/>
          <w:szCs w:val="20"/>
        </w:rPr>
        <w:t>: “… 46. H.Ş., who was taken into an emergency operation at the Faculty Hospital on March 4</w:t>
      </w:r>
      <w:r w:rsidRPr="009124AD">
        <w:rPr>
          <w:rFonts w:ascii="Calibri" w:hAnsi="Calibri"/>
          <w:sz w:val="20"/>
          <w:szCs w:val="20"/>
          <w:vertAlign w:val="superscript"/>
        </w:rPr>
        <w:t>th</w:t>
      </w:r>
      <w:r w:rsidRPr="009124AD">
        <w:rPr>
          <w:rFonts w:ascii="Calibri" w:hAnsi="Calibri"/>
          <w:sz w:val="20"/>
          <w:szCs w:val="20"/>
        </w:rPr>
        <w:t xml:space="preserve">, 2009, had applied to </w:t>
      </w:r>
      <w:proofErr w:type="spellStart"/>
      <w:r w:rsidRPr="009124AD">
        <w:rPr>
          <w:rFonts w:ascii="Calibri" w:hAnsi="Calibri"/>
          <w:sz w:val="20"/>
          <w:szCs w:val="20"/>
        </w:rPr>
        <w:t>Bakırköy</w:t>
      </w:r>
      <w:proofErr w:type="spellEnd"/>
      <w:r w:rsidRPr="009124AD">
        <w:rPr>
          <w:rFonts w:ascii="Calibri" w:hAnsi="Calibri"/>
          <w:sz w:val="20"/>
          <w:szCs w:val="20"/>
        </w:rPr>
        <w:t xml:space="preserve"> Hospital on February 28</w:t>
      </w:r>
      <w:r w:rsidRPr="009124AD">
        <w:rPr>
          <w:rFonts w:ascii="Calibri" w:hAnsi="Calibri"/>
          <w:sz w:val="20"/>
          <w:szCs w:val="20"/>
          <w:vertAlign w:val="superscript"/>
        </w:rPr>
        <w:t>th</w:t>
      </w:r>
      <w:r w:rsidRPr="009124AD">
        <w:rPr>
          <w:rFonts w:ascii="Calibri" w:hAnsi="Calibri"/>
          <w:sz w:val="20"/>
          <w:szCs w:val="20"/>
        </w:rPr>
        <w:t>, 2009 with the complaint of vomiting and nausea. Although intestinal obstruction was detected at the application date, he was not taken into operation or directed to another hospital for operation. He was kept there for four days, and then transferred to another hospital the conditions of which were claimed to be unsuitable. It is understood that although put forward by the applicants at every stage, these were not evaluated by the court. In other words, the court did not determine whether H.Ş.’s death after the emergency operation due to intestinal obstruction in the faculty hospital (to which he was transferred at his own request) was effected by the fact that he had been kept for four days without being taken into operation in the first hospital he had applied; or whether there was a causal link between the death event and the process in question. Therefore, the Court did not use its ex-officio investigative power to bring these issues to light, although it was also claimed by the applicants. The expert report includes the following statement: ‘The patient’s follow-ups were implemented properly in the dates from February 28</w:t>
      </w:r>
      <w:r w:rsidRPr="009124AD">
        <w:rPr>
          <w:rFonts w:ascii="Calibri" w:hAnsi="Calibri"/>
          <w:sz w:val="20"/>
          <w:szCs w:val="20"/>
          <w:vertAlign w:val="superscript"/>
        </w:rPr>
        <w:t>th</w:t>
      </w:r>
      <w:r w:rsidRPr="009124AD">
        <w:rPr>
          <w:rFonts w:ascii="Calibri" w:hAnsi="Calibri"/>
          <w:sz w:val="20"/>
          <w:szCs w:val="20"/>
        </w:rPr>
        <w:t xml:space="preserve"> to March 3</w:t>
      </w:r>
      <w:r w:rsidRPr="009124AD">
        <w:rPr>
          <w:rFonts w:ascii="Calibri" w:hAnsi="Calibri"/>
          <w:sz w:val="20"/>
          <w:szCs w:val="20"/>
          <w:vertAlign w:val="superscript"/>
        </w:rPr>
        <w:t>rd</w:t>
      </w:r>
      <w:r w:rsidRPr="009124AD">
        <w:rPr>
          <w:rFonts w:ascii="Calibri" w:hAnsi="Calibri"/>
          <w:sz w:val="20"/>
          <w:szCs w:val="20"/>
        </w:rPr>
        <w:t xml:space="preserve"> 2009.’ However, the lack of any grounding explanations makes this statement ineffective in bringing the issue to light. It has been concluded that the claim of delay in question is serious and needs to be clarified in the context of a positive obligation regarding the right to life, since his problem had been identified in </w:t>
      </w:r>
      <w:proofErr w:type="spellStart"/>
      <w:r w:rsidRPr="009124AD">
        <w:rPr>
          <w:rFonts w:ascii="Calibri" w:hAnsi="Calibri"/>
          <w:sz w:val="20"/>
          <w:szCs w:val="20"/>
        </w:rPr>
        <w:t>Bakırköy</w:t>
      </w:r>
      <w:proofErr w:type="spellEnd"/>
      <w:r w:rsidRPr="009124AD">
        <w:rPr>
          <w:rFonts w:ascii="Calibri" w:hAnsi="Calibri"/>
          <w:sz w:val="20"/>
          <w:szCs w:val="20"/>
        </w:rPr>
        <w:t xml:space="preserve"> Hospital on February 28</w:t>
      </w:r>
      <w:r w:rsidRPr="009124AD">
        <w:rPr>
          <w:rFonts w:ascii="Calibri" w:hAnsi="Calibri"/>
          <w:sz w:val="20"/>
          <w:szCs w:val="20"/>
          <w:vertAlign w:val="superscript"/>
        </w:rPr>
        <w:t>th</w:t>
      </w:r>
      <w:r w:rsidRPr="009124AD">
        <w:rPr>
          <w:rFonts w:ascii="Calibri" w:hAnsi="Calibri"/>
          <w:sz w:val="20"/>
          <w:szCs w:val="20"/>
        </w:rPr>
        <w:t xml:space="preserve">, 2009, and later he was taken into emergency operation at the faculty hospital. 47. According to this situation, it is understood that in order to reveal the legal responsibility in the context of the positive obligations of the state within the scope of the right to life, a thorough and careful examination was not carried out at the level required by Article 17 of the Constitution, and as a result, the positive obligations of the state were not duly fulfilled.” The violation decision on </w:t>
      </w:r>
      <w:proofErr w:type="spellStart"/>
      <w:r w:rsidRPr="009124AD">
        <w:rPr>
          <w:rFonts w:ascii="Calibri" w:hAnsi="Calibri"/>
          <w:sz w:val="20"/>
          <w:szCs w:val="20"/>
        </w:rPr>
        <w:t>Hakan</w:t>
      </w:r>
      <w:proofErr w:type="spellEnd"/>
      <w:r w:rsidRPr="009124AD">
        <w:rPr>
          <w:rFonts w:ascii="Calibri" w:hAnsi="Calibri"/>
          <w:sz w:val="20"/>
          <w:szCs w:val="20"/>
        </w:rPr>
        <w:t xml:space="preserve"> </w:t>
      </w:r>
      <w:proofErr w:type="spellStart"/>
      <w:r w:rsidRPr="009124AD">
        <w:rPr>
          <w:rFonts w:ascii="Calibri" w:hAnsi="Calibri"/>
          <w:sz w:val="20"/>
          <w:szCs w:val="20"/>
        </w:rPr>
        <w:t>Kamer’s</w:t>
      </w:r>
      <w:proofErr w:type="spellEnd"/>
      <w:r w:rsidRPr="009124AD">
        <w:rPr>
          <w:rFonts w:ascii="Calibri" w:hAnsi="Calibri"/>
          <w:sz w:val="20"/>
          <w:szCs w:val="20"/>
        </w:rPr>
        <w:t xml:space="preserve"> individual application 2018/11847, the Constitutional Court, Division 2, </w:t>
      </w:r>
      <w:proofErr w:type="gramStart"/>
      <w:r w:rsidRPr="009124AD">
        <w:rPr>
          <w:rFonts w:ascii="Calibri" w:hAnsi="Calibri"/>
          <w:sz w:val="20"/>
          <w:szCs w:val="20"/>
        </w:rPr>
        <w:t>June</w:t>
      </w:r>
      <w:proofErr w:type="gramEnd"/>
      <w:r w:rsidRPr="009124AD">
        <w:rPr>
          <w:rFonts w:ascii="Calibri" w:hAnsi="Calibri"/>
          <w:sz w:val="20"/>
          <w:szCs w:val="20"/>
        </w:rPr>
        <w:t xml:space="preserve"> 16</w:t>
      </w:r>
      <w:r w:rsidRPr="009124AD">
        <w:rPr>
          <w:rFonts w:ascii="Calibri" w:hAnsi="Calibri"/>
          <w:sz w:val="20"/>
          <w:szCs w:val="20"/>
          <w:vertAlign w:val="superscript"/>
        </w:rPr>
        <w:t>th</w:t>
      </w:r>
      <w:r w:rsidR="003F474B">
        <w:rPr>
          <w:rFonts w:ascii="Calibri" w:hAnsi="Calibri"/>
          <w:sz w:val="20"/>
          <w:szCs w:val="20"/>
        </w:rPr>
        <w:t>, 2021</w:t>
      </w:r>
      <w:r w:rsidRPr="009124AD">
        <w:rPr>
          <w:rFonts w:ascii="Calibri" w:hAnsi="Calibri"/>
          <w:sz w:val="20"/>
          <w:szCs w:val="20"/>
        </w:rPr>
        <w:t xml:space="preserve">: “40. </w:t>
      </w:r>
      <w:r w:rsidR="00A74B1E" w:rsidRPr="009124AD">
        <w:rPr>
          <w:rFonts w:ascii="Calibri" w:hAnsi="Calibri"/>
          <w:sz w:val="20"/>
          <w:szCs w:val="20"/>
        </w:rPr>
        <w:t>In conclusion</w:t>
      </w:r>
      <w:r w:rsidRPr="009124AD">
        <w:rPr>
          <w:rFonts w:ascii="Calibri" w:hAnsi="Calibri"/>
          <w:sz w:val="20"/>
          <w:szCs w:val="20"/>
        </w:rPr>
        <w:t xml:space="preserve">, considering the fact that the hospital administration is responsible for keeping the patient file on whether the injection applied was incorrect, it was concluded that no justification was presented based on concrete findings and the objections of the applicant regarding this were not met. In this case, it was concluded that the public authorities did not fulfill their positive obligations in the event that was the subject of the application.”    </w:t>
      </w:r>
    </w:p>
  </w:footnote>
  <w:footnote w:id="41">
    <w:p w14:paraId="03E7DE60" w14:textId="228998A4"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proofErr w:type="gramStart"/>
      <w:r w:rsidRPr="009124AD">
        <w:rPr>
          <w:rFonts w:ascii="Calibri" w:hAnsi="Calibri"/>
          <w:sz w:val="20"/>
          <w:szCs w:val="20"/>
        </w:rPr>
        <w:t xml:space="preserve">The non-violation decision on Ali </w:t>
      </w:r>
      <w:proofErr w:type="spellStart"/>
      <w:r w:rsidRPr="009124AD">
        <w:rPr>
          <w:rFonts w:ascii="Calibri" w:hAnsi="Calibri"/>
          <w:sz w:val="20"/>
          <w:szCs w:val="20"/>
        </w:rPr>
        <w:t>Fındık</w:t>
      </w:r>
      <w:proofErr w:type="spellEnd"/>
      <w:r w:rsidRPr="009124AD">
        <w:rPr>
          <w:rFonts w:ascii="Calibri" w:hAnsi="Calibri"/>
          <w:sz w:val="20"/>
          <w:szCs w:val="20"/>
        </w:rPr>
        <w:t xml:space="preserve"> and other’s individual application 2018/15233, the Constitutional Court, Division 2, May 18</w:t>
      </w:r>
      <w:r w:rsidRPr="009124AD">
        <w:rPr>
          <w:rFonts w:ascii="Calibri" w:hAnsi="Calibri"/>
          <w:sz w:val="20"/>
          <w:szCs w:val="20"/>
          <w:vertAlign w:val="superscript"/>
        </w:rPr>
        <w:t>th</w:t>
      </w:r>
      <w:r w:rsidR="003F474B">
        <w:rPr>
          <w:rFonts w:ascii="Calibri" w:hAnsi="Calibri"/>
          <w:sz w:val="20"/>
          <w:szCs w:val="20"/>
        </w:rPr>
        <w:t>, 2021</w:t>
      </w:r>
      <w:r w:rsidRPr="009124AD">
        <w:rPr>
          <w:rFonts w:ascii="Calibri" w:hAnsi="Calibri"/>
          <w:sz w:val="20"/>
          <w:szCs w:val="20"/>
        </w:rPr>
        <w:t>.</w:t>
      </w:r>
      <w:proofErr w:type="gramEnd"/>
      <w:r w:rsidRPr="009124AD">
        <w:rPr>
          <w:rFonts w:ascii="Calibri" w:hAnsi="Calibri"/>
          <w:sz w:val="20"/>
          <w:szCs w:val="20"/>
        </w:rPr>
        <w:t xml:space="preserve"> In this decision it is stated that: “… 49. Although, as applicants claim, the issue of taking permission before the operation was not included in the justification note and in the text of the decision by the court of instance, it is understood that the decision was approved after the documents signed by the Chamber 14 of the Council of State were obtained from the administration and included in the examination process at the appeal stage. 50. On the other hand, the expert report which is the basis for the refusal includes evaluations on S.F.'s treatment, surgery and death process in detail with the citation of medical documents, on the presence of S.F.'s pre-operative trauma/fall-related complaints, on the risk S.F’s operation had, and on the fact that the practice performed in the hospital is in compliance with the medical rules. It is seen that the final conclusion was made by taking all these into account. 51. When the trial process is considered as a whole, it is seen that the medical process (the reason for S.F.'s illness, the treatment process, the permission for the operation, the characterization of the relevant treatment process, obtaining an expert report, and obtaining the relevant documents regarding the succession of the operation and death) is examined with depth and care, as required by Article 17 of the Constitution.” In addition to the common problems mentioned in paragraph 19 above regarding consent to the operation, it is wrong to base the decision on the documents related to the consent, which were found to be included in the file at the appeal stage and objected by the applicants, and that no violation decision was made in the application. </w:t>
      </w:r>
      <w:proofErr w:type="gramStart"/>
      <w:r w:rsidRPr="009124AD">
        <w:rPr>
          <w:rFonts w:ascii="Calibri" w:hAnsi="Calibri"/>
          <w:sz w:val="20"/>
          <w:szCs w:val="20"/>
        </w:rPr>
        <w:t xml:space="preserve">The non-violation decision on </w:t>
      </w:r>
      <w:proofErr w:type="spellStart"/>
      <w:r w:rsidRPr="009124AD">
        <w:rPr>
          <w:rFonts w:ascii="Calibri" w:hAnsi="Calibri"/>
          <w:sz w:val="20"/>
          <w:szCs w:val="20"/>
        </w:rPr>
        <w:t>Abdussemet</w:t>
      </w:r>
      <w:proofErr w:type="spellEnd"/>
      <w:r w:rsidRPr="009124AD">
        <w:rPr>
          <w:rFonts w:ascii="Calibri" w:hAnsi="Calibri"/>
          <w:sz w:val="20"/>
          <w:szCs w:val="20"/>
        </w:rPr>
        <w:t xml:space="preserve"> </w:t>
      </w:r>
      <w:proofErr w:type="spellStart"/>
      <w:r w:rsidRPr="009124AD">
        <w:rPr>
          <w:rFonts w:ascii="Calibri" w:hAnsi="Calibri"/>
          <w:sz w:val="20"/>
          <w:szCs w:val="20"/>
        </w:rPr>
        <w:t>İnalhan</w:t>
      </w:r>
      <w:proofErr w:type="spellEnd"/>
      <w:r w:rsidRPr="009124AD">
        <w:rPr>
          <w:rFonts w:ascii="Calibri" w:hAnsi="Calibri"/>
          <w:sz w:val="20"/>
          <w:szCs w:val="20"/>
        </w:rPr>
        <w:t xml:space="preserve"> and other’s individual application 2018/35517, the Constitutional Court, Division 1, January 28</w:t>
      </w:r>
      <w:r w:rsidRPr="009124AD">
        <w:rPr>
          <w:rFonts w:ascii="Calibri" w:hAnsi="Calibri"/>
          <w:sz w:val="20"/>
          <w:szCs w:val="20"/>
          <w:vertAlign w:val="superscript"/>
        </w:rPr>
        <w:t>th</w:t>
      </w:r>
      <w:r w:rsidR="003F474B">
        <w:rPr>
          <w:rFonts w:ascii="Calibri" w:hAnsi="Calibri"/>
          <w:sz w:val="20"/>
          <w:szCs w:val="20"/>
        </w:rPr>
        <w:t>, 2021.</w:t>
      </w:r>
      <w:proofErr w:type="gramEnd"/>
      <w:r w:rsidR="003F474B">
        <w:rPr>
          <w:rFonts w:ascii="Calibri" w:hAnsi="Calibri"/>
          <w:sz w:val="20"/>
          <w:szCs w:val="20"/>
        </w:rPr>
        <w:t xml:space="preserve"> </w:t>
      </w:r>
      <w:r w:rsidRPr="009124AD">
        <w:rPr>
          <w:rFonts w:ascii="Calibri" w:hAnsi="Calibri"/>
          <w:sz w:val="20"/>
          <w:szCs w:val="20"/>
        </w:rPr>
        <w:t>In this decision it is stated that: “… 59. Considering the aforementioned data, it is seen that although the elimination of measles was not fully achieved when the applicant's son M.N.İ. was born, constantly increasing vaccination rates were achieved for the elimination of measles, and in this context, various vaccination campaigns were carried out in addition to routine vaccinations. Considering that the administrative authorities are in a more favorable position in determining the priority of the needs and in te</w:t>
      </w:r>
      <w:r w:rsidR="003F474B">
        <w:rPr>
          <w:rFonts w:ascii="Calibri" w:hAnsi="Calibri"/>
          <w:sz w:val="20"/>
          <w:szCs w:val="20"/>
        </w:rPr>
        <w:t>rms of how much public resource</w:t>
      </w:r>
      <w:r w:rsidRPr="009124AD">
        <w:rPr>
          <w:rFonts w:ascii="Calibri" w:hAnsi="Calibri"/>
          <w:sz w:val="20"/>
          <w:szCs w:val="20"/>
        </w:rPr>
        <w:t xml:space="preserve"> will be allocated to which health service, it has been evaluated that no responsibility can be attributed to the competent authorities for the fact that measles was not completely eliminated in the aforementioned period. There is no record in the application form and its annexes that there was a situation in the region the applicants lived at the time of the incident which may require taking some additional measures in addition to routine vaccinations, and that the public authorities were notified in this regard at that time. The applicants did not claim that they had reported the situation to the public authorities, or that the public authorities had known about the situation, or that the public authorities had not taken the necessary measures at the time of the events when M.N.İ. had not yet been diagnosed with measles and when there was measles in his close circle. In fact, it should be accepted that the responsibility for vaccination follow-up is primarily on the parents, as stated in the decisions of the courts of instance, in normal cases where there is no case of an infectious disease and/or there is no epidemic or a danger of epidemic. … 61. When all these are evaluated together, it is not possible to say that the state did not fulfill its obligations within the scope of preventive health services in this case. Moreover, even if the case was rejected, it cannot be said that the applicant did not benefit from an effective judicial protection. 62. For the reasons explained, it should be decided that the person's right to protect and develop their material and spiritual existence has not been violated in the event that is the subject of the application.” Inadequate vaccination is the responsibility of public authorities. There is a clear and serious </w:t>
      </w:r>
      <w:r w:rsidR="0071303C">
        <w:rPr>
          <w:rFonts w:ascii="Calibri" w:hAnsi="Calibri"/>
          <w:sz w:val="20"/>
          <w:szCs w:val="20"/>
        </w:rPr>
        <w:t>error</w:t>
      </w:r>
      <w:r w:rsidRPr="009124AD">
        <w:rPr>
          <w:rFonts w:ascii="Calibri" w:hAnsi="Calibri"/>
          <w:sz w:val="20"/>
          <w:szCs w:val="20"/>
        </w:rPr>
        <w:t xml:space="preserve"> of the administration in the events that are the subject of the application. It is wrong to reject the claim for compensation and not give a violation decision. </w:t>
      </w:r>
      <w:proofErr w:type="gramStart"/>
      <w:r w:rsidRPr="009124AD">
        <w:rPr>
          <w:rFonts w:ascii="Calibri" w:hAnsi="Calibri"/>
          <w:sz w:val="20"/>
          <w:szCs w:val="20"/>
        </w:rPr>
        <w:t xml:space="preserve">The non-violation decision on </w:t>
      </w:r>
      <w:proofErr w:type="spellStart"/>
      <w:r w:rsidRPr="009124AD">
        <w:rPr>
          <w:rFonts w:ascii="Calibri" w:hAnsi="Calibri"/>
          <w:sz w:val="20"/>
          <w:szCs w:val="20"/>
        </w:rPr>
        <w:t>Hatice</w:t>
      </w:r>
      <w:proofErr w:type="spellEnd"/>
      <w:r w:rsidRPr="009124AD">
        <w:rPr>
          <w:rFonts w:ascii="Calibri" w:hAnsi="Calibri"/>
          <w:sz w:val="20"/>
          <w:szCs w:val="20"/>
        </w:rPr>
        <w:t xml:space="preserve"> </w:t>
      </w:r>
      <w:proofErr w:type="spellStart"/>
      <w:r w:rsidRPr="009124AD">
        <w:rPr>
          <w:rFonts w:ascii="Calibri" w:hAnsi="Calibri"/>
          <w:sz w:val="20"/>
          <w:szCs w:val="20"/>
        </w:rPr>
        <w:t>Çalış</w:t>
      </w:r>
      <w:proofErr w:type="spellEnd"/>
      <w:r w:rsidRPr="009124AD">
        <w:rPr>
          <w:rFonts w:ascii="Calibri" w:hAnsi="Calibri"/>
          <w:sz w:val="20"/>
          <w:szCs w:val="20"/>
        </w:rPr>
        <w:t xml:space="preserve"> and other’s individual application 2017/40500, the Constitutional Court, Division 1, September 29</w:t>
      </w:r>
      <w:r w:rsidRPr="009124AD">
        <w:rPr>
          <w:rFonts w:ascii="Calibri" w:hAnsi="Calibri"/>
          <w:sz w:val="20"/>
          <w:szCs w:val="20"/>
          <w:vertAlign w:val="superscript"/>
        </w:rPr>
        <w:t>th</w:t>
      </w:r>
      <w:r w:rsidR="003F474B">
        <w:rPr>
          <w:rFonts w:ascii="Calibri" w:hAnsi="Calibri"/>
          <w:sz w:val="20"/>
          <w:szCs w:val="20"/>
        </w:rPr>
        <w:t>, 2020.</w:t>
      </w:r>
      <w:proofErr w:type="gramEnd"/>
      <w:r w:rsidR="003F474B">
        <w:rPr>
          <w:rFonts w:ascii="Calibri" w:hAnsi="Calibri"/>
          <w:sz w:val="20"/>
          <w:szCs w:val="20"/>
        </w:rPr>
        <w:t xml:space="preserve"> </w:t>
      </w:r>
      <w:r w:rsidRPr="009124AD">
        <w:rPr>
          <w:rFonts w:ascii="Calibri" w:hAnsi="Calibri"/>
          <w:sz w:val="20"/>
          <w:szCs w:val="20"/>
        </w:rPr>
        <w:t xml:space="preserve">In the decision, it is stated by the member who voted against the aforementioned decision that “…2. In the doctrine and administrative </w:t>
      </w:r>
      <w:r w:rsidR="00344D50">
        <w:rPr>
          <w:rFonts w:ascii="Calibri" w:hAnsi="Calibri"/>
          <w:sz w:val="20"/>
          <w:szCs w:val="20"/>
        </w:rPr>
        <w:t>case-law</w:t>
      </w:r>
      <w:r w:rsidRPr="009124AD">
        <w:rPr>
          <w:rFonts w:ascii="Calibri" w:hAnsi="Calibri"/>
          <w:sz w:val="20"/>
          <w:szCs w:val="20"/>
        </w:rPr>
        <w:t xml:space="preserve">, in the case of ‘malpractice’, which completes the theory of </w:t>
      </w:r>
      <w:r w:rsidRPr="00A721E1">
        <w:rPr>
          <w:rFonts w:ascii="Calibri" w:hAnsi="Calibri"/>
          <w:sz w:val="20"/>
          <w:szCs w:val="20"/>
        </w:rPr>
        <w:t>neglect of duty,</w:t>
      </w:r>
      <w:r w:rsidRPr="009124AD">
        <w:rPr>
          <w:rFonts w:ascii="Calibri" w:hAnsi="Calibri"/>
          <w:sz w:val="20"/>
          <w:szCs w:val="20"/>
        </w:rPr>
        <w:t xml:space="preserve"> it is stated that the administration can be held responsible if it is possible to refer to the administration even if the </w:t>
      </w:r>
      <w:r w:rsidR="0071303C">
        <w:rPr>
          <w:rFonts w:ascii="Calibri" w:hAnsi="Calibri"/>
          <w:sz w:val="20"/>
          <w:szCs w:val="20"/>
        </w:rPr>
        <w:t>error</w:t>
      </w:r>
      <w:r w:rsidRPr="009124AD">
        <w:rPr>
          <w:rFonts w:ascii="Calibri" w:hAnsi="Calibri"/>
          <w:sz w:val="20"/>
          <w:szCs w:val="20"/>
        </w:rPr>
        <w:t xml:space="preserve"> of the administrative agent is weakly connected with it. Considering the ‘rising standard’ of the administration, the responsibility arising from the duties of the administration agents (physicians and midwives) who gave birth can be attributed to the administration in accordance with the </w:t>
      </w:r>
      <w:r w:rsidRPr="00A721E1">
        <w:rPr>
          <w:rFonts w:ascii="Calibri" w:hAnsi="Calibri"/>
          <w:sz w:val="20"/>
          <w:szCs w:val="20"/>
        </w:rPr>
        <w:t>‘malpractice’</w:t>
      </w:r>
      <w:r w:rsidRPr="009124AD">
        <w:rPr>
          <w:rFonts w:ascii="Calibri" w:hAnsi="Calibri"/>
          <w:sz w:val="20"/>
          <w:szCs w:val="20"/>
        </w:rPr>
        <w:t xml:space="preserve"> principle. It seems that the courts of instance did not comply with this obligation, and the burden (damage) of a lifelong disability of a child was left on the applicants. It is not possible to accept this issue in the face of the final paragraph of Article 125 of the Constitution. 3. For the reasons explained; since I have come to the conclusion that the applicants' right to protect and develop the material and spiritual existence of the person, which is guaranteed in Article 17 of the Constitution, has been violated in terms of its procedural and material dimensions, I do not agree with the decision of the majority.”</w:t>
      </w:r>
      <w:r w:rsidRPr="009124AD">
        <w:rPr>
          <w:rFonts w:ascii="Calibri" w:hAnsi="Calibri"/>
          <w:vanish/>
          <w:sz w:val="20"/>
          <w:szCs w:val="20"/>
        </w:rPr>
        <w:t>, January 21st, 2021. Appenndix 44), 1999</w:t>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p>
  </w:footnote>
  <w:footnote w:id="42">
    <w:p w14:paraId="4CEF0B22" w14:textId="5390D846" w:rsidR="00F54E7B" w:rsidRPr="009124AD" w:rsidRDefault="00F54E7B" w:rsidP="009124AD">
      <w:pPr>
        <w:pStyle w:val="DipnotMetni"/>
        <w:rPr>
          <w:rStyle w:val="Kpr"/>
          <w:rFonts w:ascii="Calibri" w:hAnsi="Calibri"/>
          <w:color w:val="auto"/>
          <w:sz w:val="20"/>
          <w:szCs w:val="20"/>
        </w:rPr>
      </w:pPr>
      <w:r w:rsidRPr="009124AD">
        <w:rPr>
          <w:rFonts w:ascii="Calibri" w:hAnsi="Calibri"/>
          <w:vanish/>
          <w:sz w:val="20"/>
          <w:szCs w:val="20"/>
        </w:rPr>
        <w:t>, January 21st, 2021. Appenndix 44), 1999</w:t>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Fonts w:ascii="Calibri" w:hAnsi="Calibri"/>
          <w:vanish/>
          <w:sz w:val="20"/>
          <w:szCs w:val="20"/>
        </w:rPr>
        <w:pgNum/>
      </w:r>
      <w:r w:rsidRPr="009124AD">
        <w:rPr>
          <w:rStyle w:val="DipnotBavurusu"/>
          <w:rFonts w:ascii="Calibri" w:hAnsi="Calibri"/>
          <w:sz w:val="20"/>
          <w:szCs w:val="20"/>
        </w:rPr>
        <w:footnoteRef/>
      </w:r>
      <w:hyperlink r:id="rId16" w:history="1">
        <w:r w:rsidRPr="009124AD">
          <w:rPr>
            <w:rStyle w:val="Kpr"/>
            <w:rFonts w:ascii="Calibri" w:hAnsi="Calibri"/>
            <w:color w:val="auto"/>
            <w:sz w:val="20"/>
            <w:szCs w:val="20"/>
          </w:rPr>
          <w:t>https://www.anayasa.gov.tr/tr/baskan/konusmalar/anayasa-mahkemesinin-temel-haklar-alanindaki-kararlarinin-etkili-sekilde-uygulanmasinin-desteklenmesi-projesi-acis-konusmasi/</w:t>
        </w:r>
      </w:hyperlink>
      <w:r w:rsidRPr="009124AD">
        <w:rPr>
          <w:rStyle w:val="Kpr"/>
          <w:rFonts w:ascii="Calibri" w:hAnsi="Calibri"/>
          <w:color w:val="auto"/>
          <w:sz w:val="20"/>
          <w:szCs w:val="20"/>
        </w:rPr>
        <w:t xml:space="preserve"> </w:t>
      </w:r>
    </w:p>
    <w:p w14:paraId="1F27D5C7" w14:textId="0F776B6E" w:rsidR="00F54E7B" w:rsidRPr="009124AD" w:rsidRDefault="00F54E7B" w:rsidP="006000C9">
      <w:pPr>
        <w:pStyle w:val="DipnotMetni"/>
        <w:jc w:val="both"/>
        <w:rPr>
          <w:rFonts w:ascii="Calibri" w:hAnsi="Calibri"/>
          <w:sz w:val="20"/>
          <w:szCs w:val="20"/>
        </w:rPr>
      </w:pPr>
      <w:r w:rsidRPr="009124AD">
        <w:rPr>
          <w:rStyle w:val="Kpr"/>
          <w:rFonts w:ascii="Calibri" w:hAnsi="Calibri"/>
          <w:color w:val="auto"/>
          <w:sz w:val="20"/>
          <w:szCs w:val="20"/>
          <w:u w:val="none"/>
        </w:rPr>
        <w:t xml:space="preserve">In addition, see </w:t>
      </w:r>
      <w:proofErr w:type="spellStart"/>
      <w:proofErr w:type="gramStart"/>
      <w:r w:rsidRPr="009124AD">
        <w:rPr>
          <w:rFonts w:ascii="Calibri" w:hAnsi="Calibri" w:cstheme="minorHAnsi"/>
          <w:sz w:val="20"/>
          <w:szCs w:val="20"/>
        </w:rPr>
        <w:t>CommDH</w:t>
      </w:r>
      <w:proofErr w:type="spellEnd"/>
      <w:r w:rsidRPr="009124AD">
        <w:rPr>
          <w:rFonts w:ascii="Calibri" w:hAnsi="Calibri" w:cstheme="minorHAnsi"/>
          <w:sz w:val="20"/>
          <w:szCs w:val="20"/>
        </w:rPr>
        <w:t>(</w:t>
      </w:r>
      <w:proofErr w:type="gramEnd"/>
      <w:r w:rsidRPr="009124AD">
        <w:rPr>
          <w:rFonts w:ascii="Calibri" w:hAnsi="Calibri" w:cstheme="minorHAnsi"/>
          <w:sz w:val="20"/>
          <w:szCs w:val="20"/>
        </w:rPr>
        <w:t xml:space="preserve">2020)1 / 19 February 2020 / / </w:t>
      </w:r>
      <w:proofErr w:type="spellStart"/>
      <w:r w:rsidRPr="009124AD">
        <w:rPr>
          <w:rFonts w:ascii="Calibri" w:hAnsi="Calibri" w:cstheme="minorHAnsi"/>
          <w:sz w:val="20"/>
          <w:szCs w:val="20"/>
        </w:rPr>
        <w:t>acl_seccommhr_rw_world_ro</w:t>
      </w:r>
      <w:proofErr w:type="spellEnd"/>
      <w:r w:rsidRPr="009124AD">
        <w:rPr>
          <w:rFonts w:ascii="Calibri" w:hAnsi="Calibri" w:cstheme="minorHAnsi"/>
          <w:sz w:val="20"/>
          <w:szCs w:val="20"/>
        </w:rPr>
        <w:t xml:space="preserve">, Report on the visit to Turkey, from 1 to 5 July 2019, by </w:t>
      </w:r>
      <w:proofErr w:type="spellStart"/>
      <w:r w:rsidRPr="009124AD">
        <w:rPr>
          <w:rFonts w:ascii="Calibri" w:hAnsi="Calibri" w:cstheme="minorHAnsi"/>
          <w:sz w:val="20"/>
          <w:szCs w:val="20"/>
        </w:rPr>
        <w:t>Dunja</w:t>
      </w:r>
      <w:proofErr w:type="spellEnd"/>
      <w:r w:rsidRPr="009124AD">
        <w:rPr>
          <w:rFonts w:ascii="Calibri" w:hAnsi="Calibri" w:cstheme="minorHAnsi"/>
          <w:sz w:val="20"/>
          <w:szCs w:val="20"/>
        </w:rPr>
        <w:t xml:space="preserve"> </w:t>
      </w:r>
      <w:proofErr w:type="spellStart"/>
      <w:r w:rsidRPr="009124AD">
        <w:rPr>
          <w:rFonts w:ascii="Calibri" w:hAnsi="Calibri" w:cstheme="minorHAnsi"/>
          <w:sz w:val="20"/>
          <w:szCs w:val="20"/>
        </w:rPr>
        <w:t>Mijatović</w:t>
      </w:r>
      <w:proofErr w:type="spellEnd"/>
      <w:r w:rsidRPr="009124AD">
        <w:rPr>
          <w:rFonts w:ascii="Calibri" w:hAnsi="Calibri" w:cstheme="minorHAnsi"/>
          <w:sz w:val="20"/>
          <w:szCs w:val="20"/>
        </w:rPr>
        <w:t xml:space="preserve">, the Council of Europe Commissioner for Human Rights </w:t>
      </w:r>
      <w:r w:rsidRPr="009124AD">
        <w:rPr>
          <w:rFonts w:ascii="Calibri" w:hAnsi="Calibri" w:cstheme="minorHAnsi"/>
          <w:i/>
          <w:sz w:val="20"/>
          <w:szCs w:val="20"/>
        </w:rPr>
        <w:t>“…</w:t>
      </w:r>
      <w:r w:rsidRPr="009124AD">
        <w:rPr>
          <w:rFonts w:ascii="Calibri" w:hAnsi="Calibri" w:cstheme="minorHAnsi"/>
          <w:i/>
          <w:sz w:val="20"/>
          <w:szCs w:val="20"/>
          <w:shd w:val="clear" w:color="auto" w:fill="FFFFFF"/>
        </w:rPr>
        <w:t>95. The Commissioner thinks that there are currently four interconnected issues casting doubt on the effectiveness of the individual application procedure to the Constitutional Court as a remedy for human rights violations in Turkey. These concern the tardiness of the Constitutional Court in remedying serious human rights violations, the lower courts’ highly problematic attitude vis-à-vis the case-law of the Constitutional Court, the extraordinary burden that this state of affairs put on the Constitutional Court, and finally recent judgments of the Constitutional Court in which it appears to be departing from its previous, Convention-compliant approach…</w:t>
      </w:r>
      <w:r w:rsidRPr="009124AD">
        <w:rPr>
          <w:rFonts w:ascii="Calibri" w:hAnsi="Calibri"/>
          <w:i/>
          <w:sz w:val="20"/>
          <w:szCs w:val="20"/>
          <w:shd w:val="clear" w:color="auto" w:fill="FFFFFF"/>
        </w:rPr>
        <w:t xml:space="preserve"> </w:t>
      </w:r>
      <w:r w:rsidRPr="009124AD">
        <w:rPr>
          <w:rFonts w:ascii="Calibri" w:hAnsi="Calibri" w:cstheme="minorHAnsi"/>
          <w:i/>
          <w:sz w:val="20"/>
          <w:szCs w:val="20"/>
          <w:shd w:val="clear" w:color="auto" w:fill="FFFFFF"/>
        </w:rPr>
        <w:t>105. In summary, the Commissioner considers that there are many developments which taken together jeopardize the future of the individual application procedure before the Constitutional Court as an effective remedy for human rights violations…”</w:t>
      </w:r>
      <w:r w:rsidRPr="009124AD">
        <w:rPr>
          <w:rFonts w:ascii="Calibri" w:hAnsi="Calibri" w:cstheme="minorHAnsi"/>
          <w:sz w:val="20"/>
          <w:szCs w:val="20"/>
          <w:shd w:val="clear" w:color="auto" w:fill="FFFFFF"/>
        </w:rPr>
        <w:t>.</w:t>
      </w:r>
    </w:p>
  </w:footnote>
  <w:footnote w:id="43">
    <w:p w14:paraId="727CA0C9" w14:textId="51A80A4D" w:rsidR="00A74B1E"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proofErr w:type="gramStart"/>
      <w:r w:rsidRPr="009124AD">
        <w:rPr>
          <w:rFonts w:ascii="Calibri" w:hAnsi="Calibri"/>
          <w:sz w:val="20"/>
          <w:szCs w:val="20"/>
        </w:rPr>
        <w:t xml:space="preserve">The violation decision on </w:t>
      </w:r>
      <w:proofErr w:type="spellStart"/>
      <w:r w:rsidRPr="009124AD">
        <w:rPr>
          <w:rFonts w:ascii="Calibri" w:hAnsi="Calibri"/>
          <w:sz w:val="20"/>
          <w:szCs w:val="20"/>
        </w:rPr>
        <w:t>Aligül</w:t>
      </w:r>
      <w:proofErr w:type="spellEnd"/>
      <w:r w:rsidRPr="009124AD">
        <w:rPr>
          <w:rFonts w:ascii="Calibri" w:hAnsi="Calibri"/>
          <w:sz w:val="20"/>
          <w:szCs w:val="20"/>
        </w:rPr>
        <w:t xml:space="preserve"> </w:t>
      </w:r>
      <w:proofErr w:type="spellStart"/>
      <w:r w:rsidRPr="009124AD">
        <w:rPr>
          <w:rFonts w:ascii="Calibri" w:hAnsi="Calibri"/>
          <w:sz w:val="20"/>
          <w:szCs w:val="20"/>
        </w:rPr>
        <w:t>Alkaya</w:t>
      </w:r>
      <w:proofErr w:type="spellEnd"/>
      <w:r w:rsidRPr="009124AD">
        <w:rPr>
          <w:rFonts w:ascii="Calibri" w:hAnsi="Calibri"/>
          <w:sz w:val="20"/>
          <w:szCs w:val="20"/>
        </w:rPr>
        <w:t xml:space="preserve"> and other’s individual application 2016/12506, Constitutional Court, Division 1, November 7</w:t>
      </w:r>
      <w:r w:rsidRPr="009124AD">
        <w:rPr>
          <w:rFonts w:ascii="Calibri" w:hAnsi="Calibri"/>
          <w:sz w:val="20"/>
          <w:szCs w:val="20"/>
          <w:vertAlign w:val="superscript"/>
        </w:rPr>
        <w:t>th</w:t>
      </w:r>
      <w:r w:rsidRPr="009124AD">
        <w:rPr>
          <w:rFonts w:ascii="Calibri" w:hAnsi="Calibri"/>
          <w:sz w:val="20"/>
          <w:szCs w:val="20"/>
        </w:rPr>
        <w:t>, 2019.</w:t>
      </w:r>
      <w:proofErr w:type="gramEnd"/>
      <w:r w:rsidR="00A74B1E" w:rsidRPr="009124AD">
        <w:rPr>
          <w:rFonts w:ascii="Calibri" w:hAnsi="Calibri"/>
          <w:sz w:val="20"/>
          <w:szCs w:val="20"/>
        </w:rPr>
        <w:t xml:space="preserve"> In this decision, it is stated that “… 68. In conclusion, it should be decided that the right to a fair trial has been violated due to the failure to implement the violation decision of the Constitutional Court, which is inconsistent with the guarantees it provides to the right to a fair trial within the scope of the right to a fair trial guaranteed in Article 36 of the Constitution.”</w:t>
      </w:r>
      <w:r w:rsidRPr="009124AD">
        <w:rPr>
          <w:rFonts w:ascii="Calibri" w:hAnsi="Calibri"/>
          <w:sz w:val="20"/>
          <w:szCs w:val="20"/>
        </w:rPr>
        <w:t xml:space="preserve"> </w:t>
      </w:r>
      <w:proofErr w:type="gramStart"/>
      <w:r w:rsidR="00A74B1E" w:rsidRPr="009124AD">
        <w:rPr>
          <w:rFonts w:ascii="Calibri" w:hAnsi="Calibri"/>
          <w:sz w:val="20"/>
          <w:szCs w:val="20"/>
        </w:rPr>
        <w:t xml:space="preserve">The violation decision on </w:t>
      </w:r>
      <w:proofErr w:type="spellStart"/>
      <w:r w:rsidR="00A74B1E" w:rsidRPr="009124AD">
        <w:rPr>
          <w:rFonts w:ascii="Calibri" w:hAnsi="Calibri"/>
          <w:sz w:val="20"/>
          <w:szCs w:val="20"/>
        </w:rPr>
        <w:t>Kadri</w:t>
      </w:r>
      <w:proofErr w:type="spellEnd"/>
      <w:r w:rsidR="00A74B1E" w:rsidRPr="009124AD">
        <w:rPr>
          <w:rFonts w:ascii="Calibri" w:hAnsi="Calibri"/>
          <w:sz w:val="20"/>
          <w:szCs w:val="20"/>
        </w:rPr>
        <w:t xml:space="preserve"> </w:t>
      </w:r>
      <w:proofErr w:type="spellStart"/>
      <w:r w:rsidR="00A74B1E" w:rsidRPr="009124AD">
        <w:rPr>
          <w:rFonts w:ascii="Calibri" w:hAnsi="Calibri"/>
          <w:sz w:val="20"/>
          <w:szCs w:val="20"/>
        </w:rPr>
        <w:t>Enis</w:t>
      </w:r>
      <w:proofErr w:type="spellEnd"/>
      <w:r w:rsidR="00A74B1E" w:rsidRPr="009124AD">
        <w:rPr>
          <w:rFonts w:ascii="Calibri" w:hAnsi="Calibri"/>
          <w:sz w:val="20"/>
          <w:szCs w:val="20"/>
        </w:rPr>
        <w:t xml:space="preserve"> </w:t>
      </w:r>
      <w:proofErr w:type="spellStart"/>
      <w:r w:rsidR="00A74B1E" w:rsidRPr="009124AD">
        <w:rPr>
          <w:rFonts w:ascii="Calibri" w:hAnsi="Calibri"/>
          <w:sz w:val="20"/>
          <w:szCs w:val="20"/>
        </w:rPr>
        <w:t>Berberoğlu’s</w:t>
      </w:r>
      <w:proofErr w:type="spellEnd"/>
      <w:r w:rsidR="00A74B1E" w:rsidRPr="009124AD">
        <w:rPr>
          <w:rFonts w:ascii="Calibri" w:hAnsi="Calibri"/>
          <w:sz w:val="20"/>
          <w:szCs w:val="20"/>
        </w:rPr>
        <w:t xml:space="preserve"> individual application 2020/32949, </w:t>
      </w:r>
      <w:r w:rsidR="00E7726E">
        <w:rPr>
          <w:rFonts w:ascii="Calibri" w:hAnsi="Calibri"/>
          <w:sz w:val="20"/>
          <w:szCs w:val="20"/>
        </w:rPr>
        <w:t>Plenary</w:t>
      </w:r>
      <w:r w:rsidR="00A74B1E" w:rsidRPr="009124AD">
        <w:rPr>
          <w:rFonts w:ascii="Calibri" w:hAnsi="Calibri"/>
          <w:sz w:val="20"/>
          <w:szCs w:val="20"/>
        </w:rPr>
        <w:t xml:space="preserve"> Assembly of the Constitutional Court, January 21st, 2021.</w:t>
      </w:r>
      <w:proofErr w:type="gramEnd"/>
      <w:r w:rsidR="00A74B1E" w:rsidRPr="009124AD">
        <w:rPr>
          <w:rFonts w:ascii="Calibri" w:hAnsi="Calibri"/>
          <w:sz w:val="20"/>
          <w:szCs w:val="20"/>
        </w:rPr>
        <w:t xml:space="preserve"> In this decision, it is stated that “… 117. In conclusion, it should be decided that the right to be elected and to engage in political activities has been violated due to the failure to implement the violation decision of the Constitutional Court, which is also inconsistent with the guarantees provided by the right of access to the court.” </w:t>
      </w:r>
      <w:proofErr w:type="gramStart"/>
      <w:r w:rsidR="004F37EC" w:rsidRPr="009124AD">
        <w:rPr>
          <w:rFonts w:ascii="Calibri" w:hAnsi="Calibri"/>
          <w:sz w:val="20"/>
          <w:szCs w:val="20"/>
        </w:rPr>
        <w:t xml:space="preserve">The violation decision on </w:t>
      </w:r>
      <w:proofErr w:type="spellStart"/>
      <w:r w:rsidR="004F37EC" w:rsidRPr="009124AD">
        <w:rPr>
          <w:rFonts w:ascii="Calibri" w:hAnsi="Calibri"/>
          <w:sz w:val="20"/>
          <w:szCs w:val="20"/>
        </w:rPr>
        <w:t>Sedat</w:t>
      </w:r>
      <w:proofErr w:type="spellEnd"/>
      <w:r w:rsidR="004F37EC" w:rsidRPr="009124AD">
        <w:rPr>
          <w:rFonts w:ascii="Calibri" w:hAnsi="Calibri"/>
          <w:sz w:val="20"/>
          <w:szCs w:val="20"/>
        </w:rPr>
        <w:t xml:space="preserve"> </w:t>
      </w:r>
      <w:proofErr w:type="spellStart"/>
      <w:r w:rsidR="004F37EC" w:rsidRPr="009124AD">
        <w:rPr>
          <w:rFonts w:ascii="Calibri" w:hAnsi="Calibri"/>
          <w:sz w:val="20"/>
          <w:szCs w:val="20"/>
        </w:rPr>
        <w:t>Haspolat’s</w:t>
      </w:r>
      <w:proofErr w:type="spellEnd"/>
      <w:r w:rsidR="004F37EC" w:rsidRPr="009124AD">
        <w:rPr>
          <w:rFonts w:ascii="Calibri" w:hAnsi="Calibri"/>
          <w:sz w:val="20"/>
          <w:szCs w:val="20"/>
        </w:rPr>
        <w:t xml:space="preserve"> individual application 2020/22495, Constitutional Court, Division 1, June 15</w:t>
      </w:r>
      <w:r w:rsidR="004F37EC" w:rsidRPr="009124AD">
        <w:rPr>
          <w:rFonts w:ascii="Calibri" w:hAnsi="Calibri"/>
          <w:sz w:val="20"/>
          <w:szCs w:val="20"/>
          <w:vertAlign w:val="superscript"/>
        </w:rPr>
        <w:t>th</w:t>
      </w:r>
      <w:r w:rsidR="003F474B">
        <w:rPr>
          <w:rFonts w:ascii="Calibri" w:hAnsi="Calibri"/>
          <w:sz w:val="20"/>
          <w:szCs w:val="20"/>
        </w:rPr>
        <w:t>, 2021.</w:t>
      </w:r>
      <w:proofErr w:type="gramEnd"/>
      <w:r w:rsidR="003F474B">
        <w:rPr>
          <w:rFonts w:ascii="Calibri" w:hAnsi="Calibri"/>
          <w:sz w:val="20"/>
          <w:szCs w:val="20"/>
        </w:rPr>
        <w:t xml:space="preserve"> </w:t>
      </w:r>
      <w:r w:rsidR="004F37EC" w:rsidRPr="009124AD">
        <w:rPr>
          <w:rFonts w:ascii="Calibri" w:hAnsi="Calibri"/>
          <w:sz w:val="20"/>
          <w:szCs w:val="20"/>
        </w:rPr>
        <w:t>In this decision, it is stated that “</w:t>
      </w:r>
      <w:r w:rsidR="00D70F18" w:rsidRPr="009124AD">
        <w:rPr>
          <w:rFonts w:ascii="Calibri" w:hAnsi="Calibri"/>
          <w:sz w:val="20"/>
          <w:szCs w:val="20"/>
        </w:rPr>
        <w:t xml:space="preserve">… 59. [i]n the concrete case, the Constitutional Court evaluated whether there was a legal basis for the interference with the right to property in the light of the state of law, which is a constitutional principle, and concluded that the application of the obligation-bearing law, which came into force after the date of the transaction, deprived the intervention of any legal basis. It was found quite surprising that the Labor Court, whose task consisted of examining whether there was any other legal basis for the intervention in question, tried to refute the conclusion reached by the Constitutional Court by referring to the </w:t>
      </w:r>
      <w:r w:rsidR="00A721E1" w:rsidRPr="00A721E1">
        <w:rPr>
          <w:rFonts w:ascii="Calibri" w:hAnsi="Calibri"/>
          <w:sz w:val="20"/>
          <w:szCs w:val="20"/>
        </w:rPr>
        <w:t xml:space="preserve">Court of Cassation </w:t>
      </w:r>
      <w:r w:rsidR="00D70F18" w:rsidRPr="009124AD">
        <w:rPr>
          <w:rFonts w:ascii="Calibri" w:hAnsi="Calibri"/>
          <w:sz w:val="20"/>
          <w:szCs w:val="20"/>
        </w:rPr>
        <w:t xml:space="preserve">decisions. It is clear that this effort of the Labor Court is incompatible with the principle of </w:t>
      </w:r>
      <w:proofErr w:type="spellStart"/>
      <w:r w:rsidR="00D70F18" w:rsidRPr="009124AD">
        <w:rPr>
          <w:rFonts w:ascii="Calibri" w:hAnsi="Calibri"/>
          <w:sz w:val="20"/>
          <w:szCs w:val="20"/>
        </w:rPr>
        <w:t>bindingness</w:t>
      </w:r>
      <w:proofErr w:type="spellEnd"/>
      <w:r w:rsidR="00D70F18" w:rsidRPr="009124AD">
        <w:rPr>
          <w:rFonts w:ascii="Calibri" w:hAnsi="Calibri"/>
          <w:sz w:val="20"/>
          <w:szCs w:val="20"/>
        </w:rPr>
        <w:t xml:space="preserve"> of the Constitutional Court's decisions.</w:t>
      </w:r>
      <w:r w:rsidR="000E0D84" w:rsidRPr="009124AD">
        <w:rPr>
          <w:rFonts w:ascii="Calibri" w:hAnsi="Calibri"/>
          <w:sz w:val="20"/>
          <w:szCs w:val="20"/>
        </w:rPr>
        <w:t xml:space="preserve"> (For detailed explanations on this issue, see </w:t>
      </w:r>
      <w:r w:rsidR="000E0D84" w:rsidRPr="009124AD">
        <w:rPr>
          <w:rFonts w:ascii="Calibri" w:hAnsi="Calibri"/>
          <w:sz w:val="20"/>
          <w:szCs w:val="20"/>
          <w:lang w:val="tr-TR"/>
        </w:rPr>
        <w:t xml:space="preserve">Kadri Enis Berberoğlu (3), B. No: 2020/32949, </w:t>
      </w:r>
      <w:proofErr w:type="gramStart"/>
      <w:r w:rsidR="000E0D84" w:rsidRPr="009124AD">
        <w:rPr>
          <w:rFonts w:ascii="Calibri" w:hAnsi="Calibri"/>
          <w:sz w:val="20"/>
          <w:szCs w:val="20"/>
          <w:lang w:val="tr-TR"/>
        </w:rPr>
        <w:t>21/1/2021</w:t>
      </w:r>
      <w:proofErr w:type="gramEnd"/>
      <w:r w:rsidR="000E0D84" w:rsidRPr="009124AD">
        <w:rPr>
          <w:rFonts w:ascii="Calibri" w:hAnsi="Calibri"/>
          <w:sz w:val="20"/>
          <w:szCs w:val="20"/>
          <w:lang w:val="tr-TR"/>
        </w:rPr>
        <w:t xml:space="preserve">, §§ 82-100.)” </w:t>
      </w:r>
    </w:p>
  </w:footnote>
  <w:footnote w:id="44">
    <w:p w14:paraId="3396D671" w14:textId="36A0170C"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Although it is observed that there is an evolution </w:t>
      </w:r>
      <w:r w:rsidRPr="006000C9">
        <w:rPr>
          <w:rFonts w:ascii="Calibri" w:hAnsi="Calibri"/>
          <w:sz w:val="20"/>
          <w:szCs w:val="20"/>
        </w:rPr>
        <w:t>from gross fault to fault</w:t>
      </w:r>
      <w:r w:rsidRPr="009124AD">
        <w:rPr>
          <w:rFonts w:ascii="Calibri" w:hAnsi="Calibri"/>
          <w:sz w:val="20"/>
          <w:szCs w:val="20"/>
        </w:rPr>
        <w:t xml:space="preserve"> in the </w:t>
      </w:r>
      <w:r w:rsidR="00344D50">
        <w:rPr>
          <w:rFonts w:ascii="Calibri" w:hAnsi="Calibri"/>
          <w:sz w:val="20"/>
          <w:szCs w:val="20"/>
        </w:rPr>
        <w:t>case-law</w:t>
      </w:r>
      <w:r w:rsidRPr="009124AD">
        <w:rPr>
          <w:rFonts w:ascii="Calibri" w:hAnsi="Calibri"/>
          <w:sz w:val="20"/>
          <w:szCs w:val="20"/>
        </w:rPr>
        <w:t xml:space="preserve"> of the Council of State, strict liability is not accepted. </w:t>
      </w:r>
      <w:proofErr w:type="spellStart"/>
      <w:r w:rsidRPr="009124AD">
        <w:rPr>
          <w:rFonts w:ascii="Calibri" w:hAnsi="Calibri"/>
          <w:sz w:val="20"/>
          <w:szCs w:val="20"/>
        </w:rPr>
        <w:t>Akgül</w:t>
      </w:r>
      <w:proofErr w:type="spellEnd"/>
      <w:r w:rsidRPr="009124AD">
        <w:rPr>
          <w:rFonts w:ascii="Calibri" w:hAnsi="Calibri"/>
          <w:sz w:val="20"/>
          <w:szCs w:val="20"/>
        </w:rPr>
        <w:t xml:space="preserve"> </w:t>
      </w:r>
      <w:proofErr w:type="spellStart"/>
      <w:r w:rsidRPr="009124AD">
        <w:rPr>
          <w:rFonts w:ascii="Calibri" w:hAnsi="Calibri"/>
          <w:sz w:val="20"/>
          <w:szCs w:val="20"/>
        </w:rPr>
        <w:t>Aydın</w:t>
      </w:r>
      <w:proofErr w:type="spellEnd"/>
      <w:r w:rsidRPr="009124AD">
        <w:rPr>
          <w:rFonts w:ascii="Calibri" w:hAnsi="Calibri"/>
          <w:sz w:val="20"/>
          <w:szCs w:val="20"/>
        </w:rPr>
        <w:t xml:space="preserve">, </w:t>
      </w:r>
      <w:proofErr w:type="spellStart"/>
      <w:r w:rsidRPr="009124AD">
        <w:rPr>
          <w:rFonts w:ascii="Calibri" w:hAnsi="Calibri"/>
          <w:sz w:val="20"/>
          <w:szCs w:val="20"/>
        </w:rPr>
        <w:t>İdarenin</w:t>
      </w:r>
      <w:proofErr w:type="spellEnd"/>
      <w:r w:rsidRPr="009124AD">
        <w:rPr>
          <w:rFonts w:ascii="Calibri" w:hAnsi="Calibri"/>
          <w:sz w:val="20"/>
          <w:szCs w:val="20"/>
        </w:rPr>
        <w:t xml:space="preserve"> </w:t>
      </w:r>
      <w:proofErr w:type="spellStart"/>
      <w:r w:rsidRPr="009124AD">
        <w:rPr>
          <w:rFonts w:ascii="Calibri" w:hAnsi="Calibri"/>
          <w:sz w:val="20"/>
          <w:szCs w:val="20"/>
        </w:rPr>
        <w:t>Sağlık</w:t>
      </w:r>
      <w:proofErr w:type="spellEnd"/>
      <w:r w:rsidRPr="009124AD">
        <w:rPr>
          <w:rFonts w:ascii="Calibri" w:hAnsi="Calibri"/>
          <w:sz w:val="20"/>
          <w:szCs w:val="20"/>
        </w:rPr>
        <w:t xml:space="preserve"> </w:t>
      </w:r>
      <w:proofErr w:type="spellStart"/>
      <w:r w:rsidRPr="009124AD">
        <w:rPr>
          <w:rFonts w:ascii="Calibri" w:hAnsi="Calibri"/>
          <w:sz w:val="20"/>
          <w:szCs w:val="20"/>
        </w:rPr>
        <w:t>Hizmetlerinden</w:t>
      </w:r>
      <w:proofErr w:type="spellEnd"/>
      <w:r w:rsidRPr="009124AD">
        <w:rPr>
          <w:rFonts w:ascii="Calibri" w:hAnsi="Calibri"/>
          <w:sz w:val="20"/>
          <w:szCs w:val="20"/>
        </w:rPr>
        <w:t xml:space="preserve"> </w:t>
      </w:r>
      <w:proofErr w:type="spellStart"/>
      <w:r w:rsidRPr="009124AD">
        <w:rPr>
          <w:rFonts w:ascii="Calibri" w:hAnsi="Calibri"/>
          <w:sz w:val="20"/>
          <w:szCs w:val="20"/>
        </w:rPr>
        <w:t>Doğan</w:t>
      </w:r>
      <w:proofErr w:type="spellEnd"/>
      <w:r w:rsidRPr="009124AD">
        <w:rPr>
          <w:rFonts w:ascii="Calibri" w:hAnsi="Calibri"/>
          <w:sz w:val="20"/>
          <w:szCs w:val="20"/>
        </w:rPr>
        <w:t xml:space="preserve"> </w:t>
      </w:r>
      <w:proofErr w:type="spellStart"/>
      <w:r w:rsidRPr="009124AD">
        <w:rPr>
          <w:rFonts w:ascii="Calibri" w:hAnsi="Calibri"/>
          <w:sz w:val="20"/>
          <w:szCs w:val="20"/>
        </w:rPr>
        <w:t>Tazmin</w:t>
      </w:r>
      <w:proofErr w:type="spellEnd"/>
      <w:r w:rsidRPr="009124AD">
        <w:rPr>
          <w:rFonts w:ascii="Calibri" w:hAnsi="Calibri"/>
          <w:sz w:val="20"/>
          <w:szCs w:val="20"/>
        </w:rPr>
        <w:t xml:space="preserve"> </w:t>
      </w:r>
      <w:proofErr w:type="spellStart"/>
      <w:r w:rsidRPr="009124AD">
        <w:rPr>
          <w:rFonts w:ascii="Calibri" w:hAnsi="Calibri"/>
          <w:sz w:val="20"/>
          <w:szCs w:val="20"/>
        </w:rPr>
        <w:t>Sorumluluğu</w:t>
      </w:r>
      <w:proofErr w:type="spellEnd"/>
      <w:r w:rsidRPr="009124AD">
        <w:rPr>
          <w:rFonts w:ascii="Calibri" w:hAnsi="Calibri"/>
          <w:sz w:val="20"/>
          <w:szCs w:val="20"/>
        </w:rPr>
        <w:t xml:space="preserve"> </w:t>
      </w:r>
      <w:proofErr w:type="spellStart"/>
      <w:r w:rsidRPr="009124AD">
        <w:rPr>
          <w:rFonts w:ascii="Calibri" w:hAnsi="Calibri"/>
          <w:sz w:val="20"/>
          <w:szCs w:val="20"/>
        </w:rPr>
        <w:t>ve</w:t>
      </w:r>
      <w:proofErr w:type="spellEnd"/>
      <w:r w:rsidRPr="009124AD">
        <w:rPr>
          <w:rFonts w:ascii="Calibri" w:hAnsi="Calibri"/>
          <w:sz w:val="20"/>
          <w:szCs w:val="20"/>
        </w:rPr>
        <w:t xml:space="preserve"> </w:t>
      </w:r>
      <w:proofErr w:type="spellStart"/>
      <w:r w:rsidRPr="009124AD">
        <w:rPr>
          <w:rFonts w:ascii="Calibri" w:hAnsi="Calibri"/>
          <w:sz w:val="20"/>
          <w:szCs w:val="20"/>
        </w:rPr>
        <w:t>Danıştayın</w:t>
      </w:r>
      <w:proofErr w:type="spellEnd"/>
      <w:r w:rsidRPr="009124AD">
        <w:rPr>
          <w:rFonts w:ascii="Calibri" w:hAnsi="Calibri"/>
          <w:sz w:val="20"/>
          <w:szCs w:val="20"/>
        </w:rPr>
        <w:t xml:space="preserve"> </w:t>
      </w:r>
      <w:proofErr w:type="spellStart"/>
      <w:r w:rsidRPr="009124AD">
        <w:rPr>
          <w:rFonts w:ascii="Calibri" w:hAnsi="Calibri"/>
          <w:sz w:val="20"/>
          <w:szCs w:val="20"/>
        </w:rPr>
        <w:t>Yeni</w:t>
      </w:r>
      <w:proofErr w:type="spellEnd"/>
      <w:r w:rsidRPr="009124AD">
        <w:rPr>
          <w:rFonts w:ascii="Calibri" w:hAnsi="Calibri"/>
          <w:sz w:val="20"/>
          <w:szCs w:val="20"/>
        </w:rPr>
        <w:t xml:space="preserve"> </w:t>
      </w:r>
      <w:proofErr w:type="spellStart"/>
      <w:r w:rsidRPr="009124AD">
        <w:rPr>
          <w:rFonts w:ascii="Calibri" w:hAnsi="Calibri"/>
          <w:sz w:val="20"/>
          <w:szCs w:val="20"/>
        </w:rPr>
        <w:t>Yaklaşımı</w:t>
      </w:r>
      <w:proofErr w:type="spellEnd"/>
      <w:r w:rsidRPr="009124AD">
        <w:rPr>
          <w:rFonts w:ascii="Calibri" w:hAnsi="Calibri"/>
          <w:sz w:val="20"/>
          <w:szCs w:val="20"/>
        </w:rPr>
        <w:t xml:space="preserve"> [Responsibility for Compensation of the Administration arising from Health Services and the New Approach of the Council of State], </w:t>
      </w:r>
      <w:proofErr w:type="spellStart"/>
      <w:r w:rsidRPr="009124AD">
        <w:rPr>
          <w:rFonts w:ascii="Calibri" w:hAnsi="Calibri"/>
          <w:sz w:val="20"/>
          <w:szCs w:val="20"/>
        </w:rPr>
        <w:t>Gazi</w:t>
      </w:r>
      <w:proofErr w:type="spellEnd"/>
      <w:r w:rsidRPr="009124AD">
        <w:rPr>
          <w:rFonts w:ascii="Calibri" w:hAnsi="Calibri"/>
          <w:sz w:val="20"/>
          <w:szCs w:val="20"/>
        </w:rPr>
        <w:t xml:space="preserve"> </w:t>
      </w:r>
      <w:proofErr w:type="spellStart"/>
      <w:r w:rsidRPr="009124AD">
        <w:rPr>
          <w:rFonts w:ascii="Calibri" w:hAnsi="Calibri"/>
          <w:sz w:val="20"/>
          <w:szCs w:val="20"/>
        </w:rPr>
        <w:t>Üniversitesi</w:t>
      </w:r>
      <w:proofErr w:type="spellEnd"/>
      <w:r w:rsidRPr="009124AD">
        <w:rPr>
          <w:rFonts w:ascii="Calibri" w:hAnsi="Calibri"/>
          <w:sz w:val="20"/>
          <w:szCs w:val="20"/>
        </w:rPr>
        <w:t xml:space="preserve"> </w:t>
      </w:r>
      <w:proofErr w:type="spellStart"/>
      <w:r w:rsidRPr="009124AD">
        <w:rPr>
          <w:rFonts w:ascii="Calibri" w:hAnsi="Calibri"/>
          <w:sz w:val="20"/>
          <w:szCs w:val="20"/>
        </w:rPr>
        <w:t>Hukuk</w:t>
      </w:r>
      <w:proofErr w:type="spellEnd"/>
      <w:r w:rsidRPr="009124AD">
        <w:rPr>
          <w:rFonts w:ascii="Calibri" w:hAnsi="Calibri"/>
          <w:sz w:val="20"/>
          <w:szCs w:val="20"/>
        </w:rPr>
        <w:t xml:space="preserve"> </w:t>
      </w:r>
      <w:proofErr w:type="spellStart"/>
      <w:r w:rsidRPr="009124AD">
        <w:rPr>
          <w:rFonts w:ascii="Calibri" w:hAnsi="Calibri"/>
          <w:sz w:val="20"/>
          <w:szCs w:val="20"/>
        </w:rPr>
        <w:t>Fakültesi</w:t>
      </w:r>
      <w:proofErr w:type="spellEnd"/>
      <w:r w:rsidRPr="009124AD">
        <w:rPr>
          <w:rFonts w:ascii="Calibri" w:hAnsi="Calibri"/>
          <w:sz w:val="20"/>
          <w:szCs w:val="20"/>
        </w:rPr>
        <w:t xml:space="preserve"> </w:t>
      </w:r>
      <w:proofErr w:type="spellStart"/>
      <w:r w:rsidRPr="009124AD">
        <w:rPr>
          <w:rFonts w:ascii="Calibri" w:hAnsi="Calibri"/>
          <w:sz w:val="20"/>
          <w:szCs w:val="20"/>
        </w:rPr>
        <w:t>Dergisi</w:t>
      </w:r>
      <w:proofErr w:type="spellEnd"/>
      <w:r w:rsidRPr="009124AD">
        <w:rPr>
          <w:rFonts w:ascii="Calibri" w:hAnsi="Calibri"/>
          <w:sz w:val="20"/>
          <w:szCs w:val="20"/>
        </w:rPr>
        <w:t xml:space="preserve"> V. XX,  Y.  </w:t>
      </w:r>
      <w:proofErr w:type="gramStart"/>
      <w:r w:rsidRPr="009124AD">
        <w:rPr>
          <w:rFonts w:ascii="Calibri" w:hAnsi="Calibri"/>
          <w:sz w:val="20"/>
          <w:szCs w:val="20"/>
        </w:rPr>
        <w:t>2016, N. 1.</w:t>
      </w:r>
      <w:proofErr w:type="gramEnd"/>
      <w:r w:rsidRPr="009124AD">
        <w:rPr>
          <w:rFonts w:ascii="Calibri" w:hAnsi="Calibri"/>
          <w:sz w:val="20"/>
          <w:szCs w:val="20"/>
        </w:rPr>
        <w:t xml:space="preserve"> </w:t>
      </w:r>
    </w:p>
  </w:footnote>
  <w:footnote w:id="45">
    <w:p w14:paraId="77CB2BD3" w14:textId="37E2A81A" w:rsidR="00F54E7B" w:rsidRPr="009124AD" w:rsidRDefault="00F54E7B" w:rsidP="006000C9">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The extremely long duration of criminal proceedings is evident from many decisions. The fate of these files cannot be determined by us, but it is highly probable that they were dropped due to the statute of limitations. Decisions E:2019/10051 K: 2021/5532, E:2020/10537 K:2021/5360, E:2021/461 K:2021/3368, E:2019/8075 K:2020/2909, E:2019/5235 K:2020/1973, E:2019/13238 K:2020/234, 12th Criminal Chamber of the </w:t>
      </w:r>
      <w:r w:rsidR="00A721E1" w:rsidRPr="00A721E1">
        <w:rPr>
          <w:rFonts w:ascii="Calibri" w:hAnsi="Calibri"/>
          <w:sz w:val="20"/>
          <w:szCs w:val="20"/>
        </w:rPr>
        <w:t>Court of Cassation</w:t>
      </w:r>
      <w:r w:rsidR="00F57346">
        <w:rPr>
          <w:rFonts w:ascii="Calibri" w:hAnsi="Calibri"/>
          <w:sz w:val="20"/>
          <w:szCs w:val="20"/>
        </w:rPr>
        <w:t xml:space="preserve"> (</w:t>
      </w:r>
      <w:r w:rsidR="00F57346" w:rsidRPr="00F57346">
        <w:rPr>
          <w:rFonts w:ascii="Calibri" w:hAnsi="Calibri"/>
          <w:sz w:val="20"/>
          <w:szCs w:val="20"/>
        </w:rPr>
        <w:t>Annexes</w:t>
      </w:r>
      <w:r w:rsidR="003F474B">
        <w:rPr>
          <w:rFonts w:ascii="Calibri" w:hAnsi="Calibri"/>
          <w:sz w:val="20"/>
          <w:szCs w:val="20"/>
        </w:rPr>
        <w:t xml:space="preserve"> 9-14</w:t>
      </w:r>
      <w:r w:rsidRPr="009124AD">
        <w:rPr>
          <w:rFonts w:ascii="Calibri" w:hAnsi="Calibri"/>
          <w:sz w:val="20"/>
          <w:szCs w:val="20"/>
        </w:rPr>
        <w:t xml:space="preserve">) </w:t>
      </w:r>
    </w:p>
  </w:footnote>
  <w:footnote w:id="46">
    <w:p w14:paraId="38D89253" w14:textId="23C6B79B" w:rsidR="00F54E7B" w:rsidRPr="009124AD" w:rsidRDefault="00F54E7B" w:rsidP="00F31F56">
      <w:pPr>
        <w:pStyle w:val="DipnotMetni"/>
        <w:jc w:val="both"/>
        <w:rPr>
          <w:rFonts w:ascii="Calibri" w:hAnsi="Calibri"/>
          <w:sz w:val="20"/>
          <w:szCs w:val="20"/>
        </w:rPr>
      </w:pPr>
      <w:r w:rsidRPr="009124AD">
        <w:rPr>
          <w:rStyle w:val="DipnotBavurusu"/>
          <w:rFonts w:ascii="Calibri" w:hAnsi="Calibri"/>
          <w:sz w:val="20"/>
          <w:szCs w:val="20"/>
        </w:rPr>
        <w:footnoteRef/>
      </w:r>
      <w:r w:rsidRPr="009124AD">
        <w:rPr>
          <w:rFonts w:ascii="Calibri" w:hAnsi="Calibri"/>
          <w:sz w:val="20"/>
          <w:szCs w:val="20"/>
        </w:rPr>
        <w:t xml:space="preserve"> </w:t>
      </w:r>
      <w:r w:rsidR="00F31F56" w:rsidRPr="00F31F56">
        <w:rPr>
          <w:rFonts w:ascii="Calibri" w:hAnsi="Calibri"/>
          <w:sz w:val="20"/>
          <w:szCs w:val="20"/>
        </w:rPr>
        <w:t>Decision E</w:t>
      </w:r>
      <w:proofErr w:type="gramStart"/>
      <w:r w:rsidR="00F31F56" w:rsidRPr="00F31F56">
        <w:rPr>
          <w:rFonts w:ascii="Calibri" w:hAnsi="Calibri"/>
          <w:sz w:val="20"/>
          <w:szCs w:val="20"/>
        </w:rPr>
        <w:t>:2021</w:t>
      </w:r>
      <w:proofErr w:type="gramEnd"/>
      <w:r w:rsidR="00F31F56" w:rsidRPr="00F31F56">
        <w:rPr>
          <w:rFonts w:ascii="Calibri" w:hAnsi="Calibri"/>
          <w:sz w:val="20"/>
          <w:szCs w:val="20"/>
        </w:rPr>
        <w:t xml:space="preserve">/1364 K:2021/5173  12th Criminal Chamber of the Court of Cassation </w:t>
      </w:r>
      <w:r w:rsidR="00F57346">
        <w:rPr>
          <w:rFonts w:ascii="Calibri" w:hAnsi="Calibri"/>
          <w:sz w:val="20"/>
          <w:szCs w:val="20"/>
        </w:rPr>
        <w:t>(Annex</w:t>
      </w:r>
      <w:r w:rsidR="003F474B">
        <w:rPr>
          <w:rFonts w:ascii="Calibri" w:hAnsi="Calibri"/>
          <w:sz w:val="20"/>
          <w:szCs w:val="20"/>
        </w:rPr>
        <w:t xml:space="preserve"> 15</w:t>
      </w:r>
      <w:r w:rsidRPr="009124AD">
        <w:rPr>
          <w:rFonts w:ascii="Calibri" w:hAnsi="Calibri"/>
          <w:sz w:val="20"/>
          <w:szCs w:val="20"/>
        </w:rPr>
        <w:t xml:space="preserve">), </w:t>
      </w:r>
      <w:r w:rsidR="00F31F56" w:rsidRPr="00F31F56">
        <w:rPr>
          <w:rFonts w:ascii="Calibri" w:hAnsi="Calibri"/>
          <w:sz w:val="20"/>
          <w:szCs w:val="20"/>
        </w:rPr>
        <w:t xml:space="preserve">Decision E:2017/10551 K:2021/177 12th Criminal Chamber of the Court of Cassation </w:t>
      </w:r>
      <w:r w:rsidR="00F57346">
        <w:rPr>
          <w:rFonts w:ascii="Calibri" w:hAnsi="Calibri"/>
          <w:sz w:val="20"/>
          <w:szCs w:val="20"/>
        </w:rPr>
        <w:t>(Annex</w:t>
      </w:r>
      <w:r w:rsidR="003F474B">
        <w:rPr>
          <w:rFonts w:ascii="Calibri" w:hAnsi="Calibri"/>
          <w:sz w:val="20"/>
          <w:szCs w:val="20"/>
        </w:rPr>
        <w:t xml:space="preserve"> 16</w:t>
      </w:r>
      <w:r w:rsidRPr="009124AD">
        <w:rPr>
          <w:rFonts w:ascii="Calibri" w:hAnsi="Calibri"/>
          <w:sz w:val="20"/>
          <w:szCs w:val="20"/>
        </w:rPr>
        <w:t xml:space="preserve">), </w:t>
      </w:r>
      <w:r w:rsidR="00F31F56" w:rsidRPr="00F31F56">
        <w:rPr>
          <w:rFonts w:ascii="Calibri" w:hAnsi="Calibri"/>
          <w:sz w:val="20"/>
          <w:szCs w:val="20"/>
        </w:rPr>
        <w:t xml:space="preserve">Decision E:2019/13900 K:2020/5228 12th Criminal Chamber of the Court of Cassation </w:t>
      </w:r>
      <w:r w:rsidR="00F57346">
        <w:rPr>
          <w:rFonts w:ascii="Calibri" w:hAnsi="Calibri"/>
          <w:sz w:val="20"/>
          <w:szCs w:val="20"/>
        </w:rPr>
        <w:t xml:space="preserve"> (Annex</w:t>
      </w:r>
      <w:r w:rsidR="003F474B">
        <w:rPr>
          <w:rFonts w:ascii="Calibri" w:hAnsi="Calibri"/>
          <w:sz w:val="20"/>
          <w:szCs w:val="20"/>
        </w:rPr>
        <w:t xml:space="preserve"> 17</w:t>
      </w:r>
      <w:r w:rsidRPr="009124AD">
        <w:rPr>
          <w:rFonts w:ascii="Calibri" w:hAnsi="Calibri"/>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17BA"/>
    <w:multiLevelType w:val="hybridMultilevel"/>
    <w:tmpl w:val="E2080E00"/>
    <w:lvl w:ilvl="0" w:tplc="6F14E018">
      <w:start w:val="1"/>
      <w:numFmt w:val="bullet"/>
      <w:lvlText w:val=""/>
      <w:lvlJc w:val="left"/>
      <w:pPr>
        <w:ind w:left="720" w:hanging="360"/>
      </w:pPr>
      <w:rPr>
        <w:rFonts w:ascii="Symbol" w:hAnsi="Symbol" w:hint="default"/>
      </w:rPr>
    </w:lvl>
    <w:lvl w:ilvl="1" w:tplc="97062C64">
      <w:start w:val="1"/>
      <w:numFmt w:val="bullet"/>
      <w:lvlText w:val="o"/>
      <w:lvlJc w:val="left"/>
      <w:pPr>
        <w:ind w:left="1440" w:hanging="360"/>
      </w:pPr>
      <w:rPr>
        <w:rFonts w:ascii="Courier New" w:hAnsi="Courier New" w:hint="default"/>
      </w:rPr>
    </w:lvl>
    <w:lvl w:ilvl="2" w:tplc="6F1628E2">
      <w:start w:val="1"/>
      <w:numFmt w:val="bullet"/>
      <w:lvlText w:val=""/>
      <w:lvlJc w:val="left"/>
      <w:pPr>
        <w:ind w:left="2160" w:hanging="360"/>
      </w:pPr>
      <w:rPr>
        <w:rFonts w:ascii="Wingdings" w:hAnsi="Wingdings" w:hint="default"/>
      </w:rPr>
    </w:lvl>
    <w:lvl w:ilvl="3" w:tplc="B096E224">
      <w:start w:val="1"/>
      <w:numFmt w:val="bullet"/>
      <w:lvlText w:val=""/>
      <w:lvlJc w:val="left"/>
      <w:pPr>
        <w:ind w:left="2880" w:hanging="360"/>
      </w:pPr>
      <w:rPr>
        <w:rFonts w:ascii="Symbol" w:hAnsi="Symbol" w:hint="default"/>
      </w:rPr>
    </w:lvl>
    <w:lvl w:ilvl="4" w:tplc="331C1034">
      <w:start w:val="1"/>
      <w:numFmt w:val="bullet"/>
      <w:lvlText w:val="o"/>
      <w:lvlJc w:val="left"/>
      <w:pPr>
        <w:ind w:left="3600" w:hanging="360"/>
      </w:pPr>
      <w:rPr>
        <w:rFonts w:ascii="Courier New" w:hAnsi="Courier New" w:hint="default"/>
      </w:rPr>
    </w:lvl>
    <w:lvl w:ilvl="5" w:tplc="183AC0EE">
      <w:start w:val="1"/>
      <w:numFmt w:val="bullet"/>
      <w:lvlText w:val=""/>
      <w:lvlJc w:val="left"/>
      <w:pPr>
        <w:ind w:left="4320" w:hanging="360"/>
      </w:pPr>
      <w:rPr>
        <w:rFonts w:ascii="Wingdings" w:hAnsi="Wingdings" w:hint="default"/>
      </w:rPr>
    </w:lvl>
    <w:lvl w:ilvl="6" w:tplc="085E5AC0">
      <w:start w:val="1"/>
      <w:numFmt w:val="bullet"/>
      <w:lvlText w:val=""/>
      <w:lvlJc w:val="left"/>
      <w:pPr>
        <w:ind w:left="5040" w:hanging="360"/>
      </w:pPr>
      <w:rPr>
        <w:rFonts w:ascii="Symbol" w:hAnsi="Symbol" w:hint="default"/>
      </w:rPr>
    </w:lvl>
    <w:lvl w:ilvl="7" w:tplc="13447DDE">
      <w:start w:val="1"/>
      <w:numFmt w:val="bullet"/>
      <w:lvlText w:val="o"/>
      <w:lvlJc w:val="left"/>
      <w:pPr>
        <w:ind w:left="5760" w:hanging="360"/>
      </w:pPr>
      <w:rPr>
        <w:rFonts w:ascii="Courier New" w:hAnsi="Courier New" w:hint="default"/>
      </w:rPr>
    </w:lvl>
    <w:lvl w:ilvl="8" w:tplc="315849A2">
      <w:start w:val="1"/>
      <w:numFmt w:val="bullet"/>
      <w:lvlText w:val=""/>
      <w:lvlJc w:val="left"/>
      <w:pPr>
        <w:ind w:left="6480" w:hanging="360"/>
      </w:pPr>
      <w:rPr>
        <w:rFonts w:ascii="Wingdings" w:hAnsi="Wingdings" w:hint="default"/>
      </w:rPr>
    </w:lvl>
  </w:abstractNum>
  <w:abstractNum w:abstractNumId="1">
    <w:nsid w:val="234C57F5"/>
    <w:multiLevelType w:val="hybridMultilevel"/>
    <w:tmpl w:val="54D85AC6"/>
    <w:lvl w:ilvl="0" w:tplc="C2FCE496">
      <w:start w:val="1"/>
      <w:numFmt w:val="bullet"/>
      <w:lvlText w:val=""/>
      <w:lvlJc w:val="left"/>
      <w:pPr>
        <w:ind w:left="720" w:hanging="360"/>
      </w:pPr>
      <w:rPr>
        <w:rFonts w:ascii="Symbol" w:hAnsi="Symbol" w:hint="default"/>
      </w:rPr>
    </w:lvl>
    <w:lvl w:ilvl="1" w:tplc="F500C4B4">
      <w:start w:val="1"/>
      <w:numFmt w:val="bullet"/>
      <w:lvlText w:val="o"/>
      <w:lvlJc w:val="left"/>
      <w:pPr>
        <w:ind w:left="1440" w:hanging="360"/>
      </w:pPr>
      <w:rPr>
        <w:rFonts w:ascii="Courier New" w:hAnsi="Courier New" w:hint="default"/>
      </w:rPr>
    </w:lvl>
    <w:lvl w:ilvl="2" w:tplc="BE2659F8">
      <w:start w:val="1"/>
      <w:numFmt w:val="bullet"/>
      <w:lvlText w:val=""/>
      <w:lvlJc w:val="left"/>
      <w:pPr>
        <w:ind w:left="2160" w:hanging="360"/>
      </w:pPr>
      <w:rPr>
        <w:rFonts w:ascii="Wingdings" w:hAnsi="Wingdings" w:hint="default"/>
      </w:rPr>
    </w:lvl>
    <w:lvl w:ilvl="3" w:tplc="ED5EB280">
      <w:start w:val="1"/>
      <w:numFmt w:val="bullet"/>
      <w:lvlText w:val=""/>
      <w:lvlJc w:val="left"/>
      <w:pPr>
        <w:ind w:left="2880" w:hanging="360"/>
      </w:pPr>
      <w:rPr>
        <w:rFonts w:ascii="Symbol" w:hAnsi="Symbol" w:hint="default"/>
      </w:rPr>
    </w:lvl>
    <w:lvl w:ilvl="4" w:tplc="45BCC83C">
      <w:start w:val="1"/>
      <w:numFmt w:val="bullet"/>
      <w:lvlText w:val="o"/>
      <w:lvlJc w:val="left"/>
      <w:pPr>
        <w:ind w:left="3600" w:hanging="360"/>
      </w:pPr>
      <w:rPr>
        <w:rFonts w:ascii="Courier New" w:hAnsi="Courier New" w:hint="default"/>
      </w:rPr>
    </w:lvl>
    <w:lvl w:ilvl="5" w:tplc="1D8607D4">
      <w:start w:val="1"/>
      <w:numFmt w:val="bullet"/>
      <w:lvlText w:val=""/>
      <w:lvlJc w:val="left"/>
      <w:pPr>
        <w:ind w:left="4320" w:hanging="360"/>
      </w:pPr>
      <w:rPr>
        <w:rFonts w:ascii="Wingdings" w:hAnsi="Wingdings" w:hint="default"/>
      </w:rPr>
    </w:lvl>
    <w:lvl w:ilvl="6" w:tplc="9F88C0F0">
      <w:start w:val="1"/>
      <w:numFmt w:val="bullet"/>
      <w:lvlText w:val=""/>
      <w:lvlJc w:val="left"/>
      <w:pPr>
        <w:ind w:left="5040" w:hanging="360"/>
      </w:pPr>
      <w:rPr>
        <w:rFonts w:ascii="Symbol" w:hAnsi="Symbol" w:hint="default"/>
      </w:rPr>
    </w:lvl>
    <w:lvl w:ilvl="7" w:tplc="6B8C52EE">
      <w:start w:val="1"/>
      <w:numFmt w:val="bullet"/>
      <w:lvlText w:val="o"/>
      <w:lvlJc w:val="left"/>
      <w:pPr>
        <w:ind w:left="5760" w:hanging="360"/>
      </w:pPr>
      <w:rPr>
        <w:rFonts w:ascii="Courier New" w:hAnsi="Courier New" w:hint="default"/>
      </w:rPr>
    </w:lvl>
    <w:lvl w:ilvl="8" w:tplc="FACC2FE2">
      <w:start w:val="1"/>
      <w:numFmt w:val="bullet"/>
      <w:lvlText w:val=""/>
      <w:lvlJc w:val="left"/>
      <w:pPr>
        <w:ind w:left="6480" w:hanging="360"/>
      </w:pPr>
      <w:rPr>
        <w:rFonts w:ascii="Wingdings" w:hAnsi="Wingdings" w:hint="default"/>
      </w:rPr>
    </w:lvl>
  </w:abstractNum>
  <w:abstractNum w:abstractNumId="2">
    <w:nsid w:val="314A1D06"/>
    <w:multiLevelType w:val="hybridMultilevel"/>
    <w:tmpl w:val="49C0B654"/>
    <w:lvl w:ilvl="0" w:tplc="428423FA">
      <w:start w:val="1"/>
      <w:numFmt w:val="bullet"/>
      <w:lvlText w:val=""/>
      <w:lvlJc w:val="left"/>
      <w:pPr>
        <w:ind w:left="720" w:hanging="360"/>
      </w:pPr>
      <w:rPr>
        <w:rFonts w:ascii="Symbol" w:hAnsi="Symbol" w:hint="default"/>
      </w:rPr>
    </w:lvl>
    <w:lvl w:ilvl="1" w:tplc="ACE8ED50">
      <w:start w:val="1"/>
      <w:numFmt w:val="bullet"/>
      <w:lvlText w:val="o"/>
      <w:lvlJc w:val="left"/>
      <w:pPr>
        <w:ind w:left="1440" w:hanging="360"/>
      </w:pPr>
      <w:rPr>
        <w:rFonts w:ascii="Courier New" w:hAnsi="Courier New" w:hint="default"/>
      </w:rPr>
    </w:lvl>
    <w:lvl w:ilvl="2" w:tplc="94366188">
      <w:start w:val="1"/>
      <w:numFmt w:val="bullet"/>
      <w:lvlText w:val=""/>
      <w:lvlJc w:val="left"/>
      <w:pPr>
        <w:ind w:left="2160" w:hanging="360"/>
      </w:pPr>
      <w:rPr>
        <w:rFonts w:ascii="Wingdings" w:hAnsi="Wingdings" w:hint="default"/>
      </w:rPr>
    </w:lvl>
    <w:lvl w:ilvl="3" w:tplc="095C5078">
      <w:start w:val="1"/>
      <w:numFmt w:val="bullet"/>
      <w:lvlText w:val=""/>
      <w:lvlJc w:val="left"/>
      <w:pPr>
        <w:ind w:left="2880" w:hanging="360"/>
      </w:pPr>
      <w:rPr>
        <w:rFonts w:ascii="Symbol" w:hAnsi="Symbol" w:hint="default"/>
      </w:rPr>
    </w:lvl>
    <w:lvl w:ilvl="4" w:tplc="96E8BD5A">
      <w:start w:val="1"/>
      <w:numFmt w:val="bullet"/>
      <w:lvlText w:val="o"/>
      <w:lvlJc w:val="left"/>
      <w:pPr>
        <w:ind w:left="3600" w:hanging="360"/>
      </w:pPr>
      <w:rPr>
        <w:rFonts w:ascii="Courier New" w:hAnsi="Courier New" w:hint="default"/>
      </w:rPr>
    </w:lvl>
    <w:lvl w:ilvl="5" w:tplc="CF487A78">
      <w:start w:val="1"/>
      <w:numFmt w:val="bullet"/>
      <w:lvlText w:val=""/>
      <w:lvlJc w:val="left"/>
      <w:pPr>
        <w:ind w:left="4320" w:hanging="360"/>
      </w:pPr>
      <w:rPr>
        <w:rFonts w:ascii="Wingdings" w:hAnsi="Wingdings" w:hint="default"/>
      </w:rPr>
    </w:lvl>
    <w:lvl w:ilvl="6" w:tplc="CE589AE8">
      <w:start w:val="1"/>
      <w:numFmt w:val="bullet"/>
      <w:lvlText w:val=""/>
      <w:lvlJc w:val="left"/>
      <w:pPr>
        <w:ind w:left="5040" w:hanging="360"/>
      </w:pPr>
      <w:rPr>
        <w:rFonts w:ascii="Symbol" w:hAnsi="Symbol" w:hint="default"/>
      </w:rPr>
    </w:lvl>
    <w:lvl w:ilvl="7" w:tplc="36BC2D22">
      <w:start w:val="1"/>
      <w:numFmt w:val="bullet"/>
      <w:lvlText w:val="o"/>
      <w:lvlJc w:val="left"/>
      <w:pPr>
        <w:ind w:left="5760" w:hanging="360"/>
      </w:pPr>
      <w:rPr>
        <w:rFonts w:ascii="Courier New" w:hAnsi="Courier New" w:hint="default"/>
      </w:rPr>
    </w:lvl>
    <w:lvl w:ilvl="8" w:tplc="C8C0F584">
      <w:start w:val="1"/>
      <w:numFmt w:val="bullet"/>
      <w:lvlText w:val=""/>
      <w:lvlJc w:val="left"/>
      <w:pPr>
        <w:ind w:left="6480" w:hanging="360"/>
      </w:pPr>
      <w:rPr>
        <w:rFonts w:ascii="Wingdings" w:hAnsi="Wingdings" w:hint="default"/>
      </w:rPr>
    </w:lvl>
  </w:abstractNum>
  <w:abstractNum w:abstractNumId="3">
    <w:nsid w:val="377A0EF4"/>
    <w:multiLevelType w:val="hybridMultilevel"/>
    <w:tmpl w:val="B3147C82"/>
    <w:lvl w:ilvl="0" w:tplc="1138F1F2">
      <w:start w:val="1"/>
      <w:numFmt w:val="bullet"/>
      <w:lvlText w:val=""/>
      <w:lvlJc w:val="left"/>
      <w:pPr>
        <w:ind w:left="720" w:hanging="360"/>
      </w:pPr>
      <w:rPr>
        <w:rFonts w:ascii="Symbol" w:hAnsi="Symbol" w:hint="default"/>
      </w:rPr>
    </w:lvl>
    <w:lvl w:ilvl="1" w:tplc="90A46E3E">
      <w:start w:val="1"/>
      <w:numFmt w:val="bullet"/>
      <w:lvlText w:val="o"/>
      <w:lvlJc w:val="left"/>
      <w:pPr>
        <w:ind w:left="1440" w:hanging="360"/>
      </w:pPr>
      <w:rPr>
        <w:rFonts w:ascii="Courier New" w:hAnsi="Courier New" w:hint="default"/>
      </w:rPr>
    </w:lvl>
    <w:lvl w:ilvl="2" w:tplc="D2E2A07E">
      <w:start w:val="1"/>
      <w:numFmt w:val="bullet"/>
      <w:lvlText w:val=""/>
      <w:lvlJc w:val="left"/>
      <w:pPr>
        <w:ind w:left="2160" w:hanging="360"/>
      </w:pPr>
      <w:rPr>
        <w:rFonts w:ascii="Wingdings" w:hAnsi="Wingdings" w:hint="default"/>
      </w:rPr>
    </w:lvl>
    <w:lvl w:ilvl="3" w:tplc="822091D2">
      <w:start w:val="1"/>
      <w:numFmt w:val="bullet"/>
      <w:lvlText w:val=""/>
      <w:lvlJc w:val="left"/>
      <w:pPr>
        <w:ind w:left="2880" w:hanging="360"/>
      </w:pPr>
      <w:rPr>
        <w:rFonts w:ascii="Symbol" w:hAnsi="Symbol" w:hint="default"/>
      </w:rPr>
    </w:lvl>
    <w:lvl w:ilvl="4" w:tplc="9072E476">
      <w:start w:val="1"/>
      <w:numFmt w:val="bullet"/>
      <w:lvlText w:val="o"/>
      <w:lvlJc w:val="left"/>
      <w:pPr>
        <w:ind w:left="3600" w:hanging="360"/>
      </w:pPr>
      <w:rPr>
        <w:rFonts w:ascii="Courier New" w:hAnsi="Courier New" w:hint="default"/>
      </w:rPr>
    </w:lvl>
    <w:lvl w:ilvl="5" w:tplc="2182CC76">
      <w:start w:val="1"/>
      <w:numFmt w:val="bullet"/>
      <w:lvlText w:val=""/>
      <w:lvlJc w:val="left"/>
      <w:pPr>
        <w:ind w:left="4320" w:hanging="360"/>
      </w:pPr>
      <w:rPr>
        <w:rFonts w:ascii="Wingdings" w:hAnsi="Wingdings" w:hint="default"/>
      </w:rPr>
    </w:lvl>
    <w:lvl w:ilvl="6" w:tplc="887EC4EE">
      <w:start w:val="1"/>
      <w:numFmt w:val="bullet"/>
      <w:lvlText w:val=""/>
      <w:lvlJc w:val="left"/>
      <w:pPr>
        <w:ind w:left="5040" w:hanging="360"/>
      </w:pPr>
      <w:rPr>
        <w:rFonts w:ascii="Symbol" w:hAnsi="Symbol" w:hint="default"/>
      </w:rPr>
    </w:lvl>
    <w:lvl w:ilvl="7" w:tplc="7BA29CD8">
      <w:start w:val="1"/>
      <w:numFmt w:val="bullet"/>
      <w:lvlText w:val="o"/>
      <w:lvlJc w:val="left"/>
      <w:pPr>
        <w:ind w:left="5760" w:hanging="360"/>
      </w:pPr>
      <w:rPr>
        <w:rFonts w:ascii="Courier New" w:hAnsi="Courier New" w:hint="default"/>
      </w:rPr>
    </w:lvl>
    <w:lvl w:ilvl="8" w:tplc="8500F5A6">
      <w:start w:val="1"/>
      <w:numFmt w:val="bullet"/>
      <w:lvlText w:val=""/>
      <w:lvlJc w:val="left"/>
      <w:pPr>
        <w:ind w:left="6480" w:hanging="360"/>
      </w:pPr>
      <w:rPr>
        <w:rFonts w:ascii="Wingdings" w:hAnsi="Wingdings" w:hint="default"/>
      </w:rPr>
    </w:lvl>
  </w:abstractNum>
  <w:abstractNum w:abstractNumId="4">
    <w:nsid w:val="4BEE2D64"/>
    <w:multiLevelType w:val="hybridMultilevel"/>
    <w:tmpl w:val="540CEC3C"/>
    <w:lvl w:ilvl="0" w:tplc="ED2C3958">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51643"/>
    <w:multiLevelType w:val="hybridMultilevel"/>
    <w:tmpl w:val="540CEC3C"/>
    <w:lvl w:ilvl="0" w:tplc="ED2C3958">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1238AF"/>
    <w:multiLevelType w:val="hybridMultilevel"/>
    <w:tmpl w:val="540CEC3C"/>
    <w:lvl w:ilvl="0" w:tplc="ED2C3958">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people.xml><?xml version="1.0" encoding="utf-8"?>
<w15:people xmlns:mc="http://schemas.openxmlformats.org/markup-compatibility/2006" xmlns:w15="http://schemas.microsoft.com/office/word/2012/wordml" mc:Ignorable="w15">
  <w15:person w15:author="Ioana iliescu">
    <w15:presenceInfo w15:providerId="AD" w15:userId="S::iliescu@einnetwork.onmicrosoft.com::a55d7460-8fec-4782-9102-cec5788a5583"/>
  </w15:person>
  <w15:person w15:author="director">
    <w15:presenceInfo w15:providerId="None" w15:userId="dire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FA"/>
    <w:rsid w:val="00002B43"/>
    <w:rsid w:val="00011D81"/>
    <w:rsid w:val="00012279"/>
    <w:rsid w:val="00012A3F"/>
    <w:rsid w:val="00024996"/>
    <w:rsid w:val="00030292"/>
    <w:rsid w:val="00034BA2"/>
    <w:rsid w:val="000443F5"/>
    <w:rsid w:val="00046908"/>
    <w:rsid w:val="00084816"/>
    <w:rsid w:val="000917C5"/>
    <w:rsid w:val="000A76FC"/>
    <w:rsid w:val="000C2455"/>
    <w:rsid w:val="000D0D9A"/>
    <w:rsid w:val="000E0D84"/>
    <w:rsid w:val="0010472A"/>
    <w:rsid w:val="00112AE3"/>
    <w:rsid w:val="001150D4"/>
    <w:rsid w:val="00117179"/>
    <w:rsid w:val="001224BC"/>
    <w:rsid w:val="00122B83"/>
    <w:rsid w:val="00134BAB"/>
    <w:rsid w:val="00167A42"/>
    <w:rsid w:val="00175A2E"/>
    <w:rsid w:val="00184294"/>
    <w:rsid w:val="00192FC1"/>
    <w:rsid w:val="001946D2"/>
    <w:rsid w:val="001A5856"/>
    <w:rsid w:val="001D022F"/>
    <w:rsid w:val="001E45B2"/>
    <w:rsid w:val="001E7265"/>
    <w:rsid w:val="00200D22"/>
    <w:rsid w:val="002033E6"/>
    <w:rsid w:val="002108C0"/>
    <w:rsid w:val="002171FA"/>
    <w:rsid w:val="002233F7"/>
    <w:rsid w:val="002361BE"/>
    <w:rsid w:val="00245263"/>
    <w:rsid w:val="002455BC"/>
    <w:rsid w:val="0024778D"/>
    <w:rsid w:val="00267309"/>
    <w:rsid w:val="00283900"/>
    <w:rsid w:val="00290DCE"/>
    <w:rsid w:val="00292EA3"/>
    <w:rsid w:val="002A1B45"/>
    <w:rsid w:val="002A506D"/>
    <w:rsid w:val="002B6C3B"/>
    <w:rsid w:val="002C09B8"/>
    <w:rsid w:val="002C0D4F"/>
    <w:rsid w:val="002C2583"/>
    <w:rsid w:val="002D71E4"/>
    <w:rsid w:val="002E0232"/>
    <w:rsid w:val="002E558B"/>
    <w:rsid w:val="00303AE0"/>
    <w:rsid w:val="00307EA1"/>
    <w:rsid w:val="0031045A"/>
    <w:rsid w:val="00344D50"/>
    <w:rsid w:val="00387358"/>
    <w:rsid w:val="003909EC"/>
    <w:rsid w:val="003B4D8C"/>
    <w:rsid w:val="003D34D0"/>
    <w:rsid w:val="003F2CB6"/>
    <w:rsid w:val="003F474B"/>
    <w:rsid w:val="003F6D44"/>
    <w:rsid w:val="003F781C"/>
    <w:rsid w:val="00447F14"/>
    <w:rsid w:val="004767B7"/>
    <w:rsid w:val="0048441D"/>
    <w:rsid w:val="00485990"/>
    <w:rsid w:val="00492145"/>
    <w:rsid w:val="004A1413"/>
    <w:rsid w:val="004A4FAD"/>
    <w:rsid w:val="004B2801"/>
    <w:rsid w:val="004B61D7"/>
    <w:rsid w:val="004C00A1"/>
    <w:rsid w:val="004C550B"/>
    <w:rsid w:val="004E0E49"/>
    <w:rsid w:val="004F37EC"/>
    <w:rsid w:val="005009C6"/>
    <w:rsid w:val="0050566C"/>
    <w:rsid w:val="00520B8F"/>
    <w:rsid w:val="00531303"/>
    <w:rsid w:val="00545673"/>
    <w:rsid w:val="005635F8"/>
    <w:rsid w:val="00565799"/>
    <w:rsid w:val="0058550E"/>
    <w:rsid w:val="00590E8B"/>
    <w:rsid w:val="005E41A9"/>
    <w:rsid w:val="006000C9"/>
    <w:rsid w:val="00615EE0"/>
    <w:rsid w:val="00615F13"/>
    <w:rsid w:val="006174AA"/>
    <w:rsid w:val="00621E27"/>
    <w:rsid w:val="00634360"/>
    <w:rsid w:val="006351F6"/>
    <w:rsid w:val="0066484C"/>
    <w:rsid w:val="00673443"/>
    <w:rsid w:val="00690214"/>
    <w:rsid w:val="006962CD"/>
    <w:rsid w:val="006B0DD1"/>
    <w:rsid w:val="006E4096"/>
    <w:rsid w:val="006E70D3"/>
    <w:rsid w:val="006F17BD"/>
    <w:rsid w:val="0071303C"/>
    <w:rsid w:val="0071340E"/>
    <w:rsid w:val="007424BD"/>
    <w:rsid w:val="00753A1A"/>
    <w:rsid w:val="00754249"/>
    <w:rsid w:val="007563A5"/>
    <w:rsid w:val="00756E86"/>
    <w:rsid w:val="007622E8"/>
    <w:rsid w:val="00762BD5"/>
    <w:rsid w:val="00764A8C"/>
    <w:rsid w:val="0077224F"/>
    <w:rsid w:val="0077753A"/>
    <w:rsid w:val="00796230"/>
    <w:rsid w:val="007A17A1"/>
    <w:rsid w:val="007A6332"/>
    <w:rsid w:val="007C4F74"/>
    <w:rsid w:val="007C5ED5"/>
    <w:rsid w:val="007F03EE"/>
    <w:rsid w:val="00810350"/>
    <w:rsid w:val="00812164"/>
    <w:rsid w:val="008541FC"/>
    <w:rsid w:val="00863D21"/>
    <w:rsid w:val="008721CC"/>
    <w:rsid w:val="00875AF4"/>
    <w:rsid w:val="00891A45"/>
    <w:rsid w:val="00896FD4"/>
    <w:rsid w:val="008C2678"/>
    <w:rsid w:val="008C6394"/>
    <w:rsid w:val="008E0FE5"/>
    <w:rsid w:val="00904337"/>
    <w:rsid w:val="00911DB2"/>
    <w:rsid w:val="009124AD"/>
    <w:rsid w:val="00915632"/>
    <w:rsid w:val="00926B4A"/>
    <w:rsid w:val="00932907"/>
    <w:rsid w:val="00933EA5"/>
    <w:rsid w:val="009C281C"/>
    <w:rsid w:val="009E4838"/>
    <w:rsid w:val="009F35FF"/>
    <w:rsid w:val="00A011F3"/>
    <w:rsid w:val="00A42B1E"/>
    <w:rsid w:val="00A718C1"/>
    <w:rsid w:val="00A721E1"/>
    <w:rsid w:val="00A736E8"/>
    <w:rsid w:val="00A74B1E"/>
    <w:rsid w:val="00A92283"/>
    <w:rsid w:val="00AA3FF1"/>
    <w:rsid w:val="00AB4B17"/>
    <w:rsid w:val="00B00D2F"/>
    <w:rsid w:val="00B14036"/>
    <w:rsid w:val="00B206B6"/>
    <w:rsid w:val="00B23DF1"/>
    <w:rsid w:val="00B33510"/>
    <w:rsid w:val="00B33CAD"/>
    <w:rsid w:val="00B43AD2"/>
    <w:rsid w:val="00B47016"/>
    <w:rsid w:val="00B60AC5"/>
    <w:rsid w:val="00B67753"/>
    <w:rsid w:val="00B817A5"/>
    <w:rsid w:val="00B8668C"/>
    <w:rsid w:val="00B947C8"/>
    <w:rsid w:val="00B962AD"/>
    <w:rsid w:val="00BB1EDA"/>
    <w:rsid w:val="00BC340C"/>
    <w:rsid w:val="00BE2293"/>
    <w:rsid w:val="00BE71C3"/>
    <w:rsid w:val="00BF79C3"/>
    <w:rsid w:val="00C147EA"/>
    <w:rsid w:val="00C217BB"/>
    <w:rsid w:val="00C36C3D"/>
    <w:rsid w:val="00C83D4F"/>
    <w:rsid w:val="00CA306E"/>
    <w:rsid w:val="00CA7899"/>
    <w:rsid w:val="00CD1CAD"/>
    <w:rsid w:val="00CF75C4"/>
    <w:rsid w:val="00D10736"/>
    <w:rsid w:val="00D15D6B"/>
    <w:rsid w:val="00D15E96"/>
    <w:rsid w:val="00D169DF"/>
    <w:rsid w:val="00D47104"/>
    <w:rsid w:val="00D56F70"/>
    <w:rsid w:val="00D60ED7"/>
    <w:rsid w:val="00D63831"/>
    <w:rsid w:val="00D64DC7"/>
    <w:rsid w:val="00D67C5D"/>
    <w:rsid w:val="00D70F18"/>
    <w:rsid w:val="00D76A25"/>
    <w:rsid w:val="00D84DED"/>
    <w:rsid w:val="00D93DC5"/>
    <w:rsid w:val="00DB1708"/>
    <w:rsid w:val="00DB64C8"/>
    <w:rsid w:val="00DF690E"/>
    <w:rsid w:val="00E00F35"/>
    <w:rsid w:val="00E2242A"/>
    <w:rsid w:val="00E23ADD"/>
    <w:rsid w:val="00E4230C"/>
    <w:rsid w:val="00E44CBA"/>
    <w:rsid w:val="00E62677"/>
    <w:rsid w:val="00E7726E"/>
    <w:rsid w:val="00E82193"/>
    <w:rsid w:val="00EA29C5"/>
    <w:rsid w:val="00EE5196"/>
    <w:rsid w:val="00EF66FA"/>
    <w:rsid w:val="00F124E1"/>
    <w:rsid w:val="00F20FEB"/>
    <w:rsid w:val="00F292D9"/>
    <w:rsid w:val="00F31F56"/>
    <w:rsid w:val="00F338AB"/>
    <w:rsid w:val="00F425F5"/>
    <w:rsid w:val="00F43918"/>
    <w:rsid w:val="00F5100D"/>
    <w:rsid w:val="00F54E7B"/>
    <w:rsid w:val="00F57346"/>
    <w:rsid w:val="00F57BEB"/>
    <w:rsid w:val="00F620D7"/>
    <w:rsid w:val="00F91248"/>
    <w:rsid w:val="00F930F8"/>
    <w:rsid w:val="00FD387A"/>
    <w:rsid w:val="00FF42FA"/>
    <w:rsid w:val="01B158AC"/>
    <w:rsid w:val="028A283E"/>
    <w:rsid w:val="029195FB"/>
    <w:rsid w:val="045185CC"/>
    <w:rsid w:val="05710126"/>
    <w:rsid w:val="0819E0A1"/>
    <w:rsid w:val="0A49DAB1"/>
    <w:rsid w:val="0A929248"/>
    <w:rsid w:val="0D4F999A"/>
    <w:rsid w:val="0F8DDE84"/>
    <w:rsid w:val="0FAA6B78"/>
    <w:rsid w:val="12A61DA3"/>
    <w:rsid w:val="12B664E6"/>
    <w:rsid w:val="12BEE7A6"/>
    <w:rsid w:val="12F45D2F"/>
    <w:rsid w:val="15A22706"/>
    <w:rsid w:val="185292BD"/>
    <w:rsid w:val="1881410E"/>
    <w:rsid w:val="19E7B447"/>
    <w:rsid w:val="1A746326"/>
    <w:rsid w:val="1BB185B0"/>
    <w:rsid w:val="1CB74FC5"/>
    <w:rsid w:val="1D2936A1"/>
    <w:rsid w:val="1F5C9C3E"/>
    <w:rsid w:val="1FE0CE60"/>
    <w:rsid w:val="21A4722D"/>
    <w:rsid w:val="22016289"/>
    <w:rsid w:val="22117C05"/>
    <w:rsid w:val="22F1A43F"/>
    <w:rsid w:val="25BC29E6"/>
    <w:rsid w:val="25E110B9"/>
    <w:rsid w:val="27D0C093"/>
    <w:rsid w:val="2B6ED044"/>
    <w:rsid w:val="2C1C0C42"/>
    <w:rsid w:val="2CD364DF"/>
    <w:rsid w:val="2CFA6B06"/>
    <w:rsid w:val="2D237082"/>
    <w:rsid w:val="2EC6BD34"/>
    <w:rsid w:val="2F3321FF"/>
    <w:rsid w:val="2F6EF0BB"/>
    <w:rsid w:val="302637B0"/>
    <w:rsid w:val="30628D95"/>
    <w:rsid w:val="32BF446C"/>
    <w:rsid w:val="343654B5"/>
    <w:rsid w:val="3535FEB8"/>
    <w:rsid w:val="38A53265"/>
    <w:rsid w:val="395CA7A8"/>
    <w:rsid w:val="3AC6F495"/>
    <w:rsid w:val="3B21F08D"/>
    <w:rsid w:val="3BA5403C"/>
    <w:rsid w:val="3D41109D"/>
    <w:rsid w:val="3DA1A4FB"/>
    <w:rsid w:val="3DD8262A"/>
    <w:rsid w:val="3E84DE38"/>
    <w:rsid w:val="4023AE89"/>
    <w:rsid w:val="40809EE5"/>
    <w:rsid w:val="43BA8A6C"/>
    <w:rsid w:val="43E871EC"/>
    <w:rsid w:val="4413B39E"/>
    <w:rsid w:val="46E98AEC"/>
    <w:rsid w:val="46EFE069"/>
    <w:rsid w:val="48218C3E"/>
    <w:rsid w:val="4A70B097"/>
    <w:rsid w:val="4BD62287"/>
    <w:rsid w:val="4DD2E960"/>
    <w:rsid w:val="4E06B010"/>
    <w:rsid w:val="4E8C5824"/>
    <w:rsid w:val="4FE6C7BB"/>
    <w:rsid w:val="51CE637A"/>
    <w:rsid w:val="51E294A2"/>
    <w:rsid w:val="52F93048"/>
    <w:rsid w:val="533F4A94"/>
    <w:rsid w:val="555FF3FF"/>
    <w:rsid w:val="556A33D2"/>
    <w:rsid w:val="567C53BE"/>
    <w:rsid w:val="56A923A1"/>
    <w:rsid w:val="57A94428"/>
    <w:rsid w:val="58000374"/>
    <w:rsid w:val="593B36E1"/>
    <w:rsid w:val="594D8402"/>
    <w:rsid w:val="5C3C3F5B"/>
    <w:rsid w:val="5E84E03F"/>
    <w:rsid w:val="5F139F82"/>
    <w:rsid w:val="606C0630"/>
    <w:rsid w:val="6331A584"/>
    <w:rsid w:val="637732EB"/>
    <w:rsid w:val="644E7180"/>
    <w:rsid w:val="64BF21D1"/>
    <w:rsid w:val="65F60150"/>
    <w:rsid w:val="66AABAD0"/>
    <w:rsid w:val="6834AE72"/>
    <w:rsid w:val="686A8A06"/>
    <w:rsid w:val="6A778A0E"/>
    <w:rsid w:val="6C044326"/>
    <w:rsid w:val="6D7DDB18"/>
    <w:rsid w:val="6DD70165"/>
    <w:rsid w:val="6DFADCDC"/>
    <w:rsid w:val="73C7CE66"/>
    <w:rsid w:val="78C12286"/>
    <w:rsid w:val="7A835154"/>
    <w:rsid w:val="7CB5C420"/>
    <w:rsid w:val="7CD07464"/>
    <w:rsid w:val="7DF8A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F66FA"/>
  </w:style>
  <w:style w:type="character" w:customStyle="1" w:styleId="DipnotMetniChar">
    <w:name w:val="Dipnot Metni Char"/>
    <w:basedOn w:val="VarsaylanParagrafYazTipi"/>
    <w:link w:val="DipnotMetni"/>
    <w:uiPriority w:val="99"/>
    <w:rsid w:val="00EF66FA"/>
  </w:style>
  <w:style w:type="character" w:styleId="DipnotBavurusu">
    <w:name w:val="footnote reference"/>
    <w:basedOn w:val="VarsaylanParagrafYazTipi"/>
    <w:uiPriority w:val="99"/>
    <w:unhideWhenUsed/>
    <w:rsid w:val="00EF66FA"/>
    <w:rPr>
      <w:vertAlign w:val="superscript"/>
    </w:rPr>
  </w:style>
  <w:style w:type="character" w:styleId="Kpr">
    <w:name w:val="Hyperlink"/>
    <w:basedOn w:val="VarsaylanParagrafYazTipi"/>
    <w:uiPriority w:val="99"/>
    <w:unhideWhenUsed/>
    <w:rsid w:val="00EF66FA"/>
    <w:rPr>
      <w:color w:val="0563C1" w:themeColor="hyperlink"/>
      <w:u w:val="single"/>
    </w:rPr>
  </w:style>
  <w:style w:type="character" w:styleId="zlenenKpr">
    <w:name w:val="FollowedHyperlink"/>
    <w:basedOn w:val="VarsaylanParagrafYazTipi"/>
    <w:uiPriority w:val="99"/>
    <w:semiHidden/>
    <w:unhideWhenUsed/>
    <w:rsid w:val="00915632"/>
    <w:rPr>
      <w:color w:val="954F72" w:themeColor="followedHyperlink"/>
      <w:u w:val="single"/>
    </w:rPr>
  </w:style>
  <w:style w:type="paragraph" w:styleId="ListeParagraf">
    <w:name w:val="List Paragraph"/>
    <w:basedOn w:val="Normal"/>
    <w:uiPriority w:val="34"/>
    <w:qFormat/>
    <w:rsid w:val="00283900"/>
    <w:pPr>
      <w:ind w:left="720"/>
      <w:contextualSpacing/>
    </w:pPr>
  </w:style>
  <w:style w:type="paragraph" w:styleId="BelgeBalantlar">
    <w:name w:val="Document Map"/>
    <w:basedOn w:val="Normal"/>
    <w:link w:val="BelgeBalantlarChar"/>
    <w:uiPriority w:val="99"/>
    <w:semiHidden/>
    <w:unhideWhenUsed/>
    <w:rsid w:val="00D60ED7"/>
    <w:rPr>
      <w:rFonts w:ascii="Times New Roman" w:hAnsi="Times New Roman" w:cs="Times New Roman"/>
    </w:rPr>
  </w:style>
  <w:style w:type="character" w:customStyle="1" w:styleId="BelgeBalantlarChar">
    <w:name w:val="Belge Bağlantıları Char"/>
    <w:basedOn w:val="VarsaylanParagrafYazTipi"/>
    <w:link w:val="BelgeBalantlar"/>
    <w:uiPriority w:val="99"/>
    <w:semiHidden/>
    <w:rsid w:val="00D60ED7"/>
    <w:rPr>
      <w:rFonts w:ascii="Times New Roman" w:hAnsi="Times New Roman" w:cs="Times New Roman"/>
    </w:rPr>
  </w:style>
  <w:style w:type="paragraph" w:styleId="stbilgi">
    <w:name w:val="header"/>
    <w:basedOn w:val="Normal"/>
    <w:link w:val="stbilgiChar"/>
    <w:uiPriority w:val="99"/>
    <w:unhideWhenUsed/>
    <w:rsid w:val="006000C9"/>
    <w:pPr>
      <w:tabs>
        <w:tab w:val="center" w:pos="4536"/>
        <w:tab w:val="right" w:pos="9072"/>
      </w:tabs>
    </w:pPr>
  </w:style>
  <w:style w:type="character" w:customStyle="1" w:styleId="stbilgiChar">
    <w:name w:val="Üstbilgi Char"/>
    <w:basedOn w:val="VarsaylanParagrafYazTipi"/>
    <w:link w:val="stbilgi"/>
    <w:uiPriority w:val="99"/>
    <w:rsid w:val="006000C9"/>
  </w:style>
  <w:style w:type="paragraph" w:styleId="Altbilgi">
    <w:name w:val="footer"/>
    <w:basedOn w:val="Normal"/>
    <w:link w:val="AltbilgiChar"/>
    <w:uiPriority w:val="99"/>
    <w:unhideWhenUsed/>
    <w:rsid w:val="006000C9"/>
    <w:pPr>
      <w:tabs>
        <w:tab w:val="center" w:pos="4536"/>
        <w:tab w:val="right" w:pos="9072"/>
      </w:tabs>
    </w:pPr>
  </w:style>
  <w:style w:type="character" w:customStyle="1" w:styleId="AltbilgiChar">
    <w:name w:val="Altbilgi Char"/>
    <w:basedOn w:val="VarsaylanParagrafYazTipi"/>
    <w:link w:val="Altbilgi"/>
    <w:uiPriority w:val="99"/>
    <w:rsid w:val="006000C9"/>
  </w:style>
  <w:style w:type="character" w:styleId="AklamaBavurusu">
    <w:name w:val="annotation reference"/>
    <w:basedOn w:val="VarsaylanParagrafYazTipi"/>
    <w:uiPriority w:val="99"/>
    <w:semiHidden/>
    <w:unhideWhenUsed/>
    <w:rsid w:val="003F2CB6"/>
    <w:rPr>
      <w:sz w:val="16"/>
      <w:szCs w:val="16"/>
    </w:rPr>
  </w:style>
  <w:style w:type="paragraph" w:styleId="AklamaMetni">
    <w:name w:val="annotation text"/>
    <w:basedOn w:val="Normal"/>
    <w:link w:val="AklamaMetniChar"/>
    <w:uiPriority w:val="99"/>
    <w:semiHidden/>
    <w:unhideWhenUsed/>
    <w:rsid w:val="003F2CB6"/>
    <w:rPr>
      <w:sz w:val="20"/>
      <w:szCs w:val="20"/>
    </w:rPr>
  </w:style>
  <w:style w:type="character" w:customStyle="1" w:styleId="AklamaMetniChar">
    <w:name w:val="Açıklama Metni Char"/>
    <w:basedOn w:val="VarsaylanParagrafYazTipi"/>
    <w:link w:val="AklamaMetni"/>
    <w:uiPriority w:val="99"/>
    <w:semiHidden/>
    <w:rsid w:val="003F2CB6"/>
    <w:rPr>
      <w:sz w:val="20"/>
      <w:szCs w:val="20"/>
    </w:rPr>
  </w:style>
  <w:style w:type="paragraph" w:styleId="AklamaKonusu">
    <w:name w:val="annotation subject"/>
    <w:basedOn w:val="AklamaMetni"/>
    <w:next w:val="AklamaMetni"/>
    <w:link w:val="AklamaKonusuChar"/>
    <w:uiPriority w:val="99"/>
    <w:semiHidden/>
    <w:unhideWhenUsed/>
    <w:rsid w:val="003F2CB6"/>
    <w:rPr>
      <w:b/>
      <w:bCs/>
    </w:rPr>
  </w:style>
  <w:style w:type="character" w:customStyle="1" w:styleId="AklamaKonusuChar">
    <w:name w:val="Açıklama Konusu Char"/>
    <w:basedOn w:val="AklamaMetniChar"/>
    <w:link w:val="AklamaKonusu"/>
    <w:uiPriority w:val="99"/>
    <w:semiHidden/>
    <w:rsid w:val="003F2CB6"/>
    <w:rPr>
      <w:b/>
      <w:bCs/>
      <w:sz w:val="20"/>
      <w:szCs w:val="20"/>
    </w:rPr>
  </w:style>
  <w:style w:type="paragraph" w:styleId="Dzeltme">
    <w:name w:val="Revision"/>
    <w:hidden/>
    <w:uiPriority w:val="99"/>
    <w:semiHidden/>
    <w:rsid w:val="00B33510"/>
  </w:style>
  <w:style w:type="character" w:customStyle="1" w:styleId="sfbbfee58">
    <w:name w:val="sfbbfee58"/>
    <w:basedOn w:val="VarsaylanParagrafYazTipi"/>
    <w:rsid w:val="00167A42"/>
  </w:style>
  <w:style w:type="character" w:customStyle="1" w:styleId="s1a844bc0">
    <w:name w:val="s1a844bc0"/>
    <w:basedOn w:val="VarsaylanParagrafYazTipi"/>
    <w:rsid w:val="00167A42"/>
  </w:style>
  <w:style w:type="paragraph" w:styleId="BalonMetni">
    <w:name w:val="Balloon Text"/>
    <w:basedOn w:val="Normal"/>
    <w:link w:val="BalonMetniChar"/>
    <w:uiPriority w:val="99"/>
    <w:semiHidden/>
    <w:unhideWhenUsed/>
    <w:rsid w:val="00BC340C"/>
    <w:rPr>
      <w:rFonts w:ascii="Tahoma" w:hAnsi="Tahoma" w:cs="Tahoma"/>
      <w:sz w:val="16"/>
      <w:szCs w:val="16"/>
    </w:rPr>
  </w:style>
  <w:style w:type="character" w:customStyle="1" w:styleId="BalonMetniChar">
    <w:name w:val="Balon Metni Char"/>
    <w:basedOn w:val="VarsaylanParagrafYazTipi"/>
    <w:link w:val="BalonMetni"/>
    <w:uiPriority w:val="99"/>
    <w:semiHidden/>
    <w:rsid w:val="00BC34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F66FA"/>
  </w:style>
  <w:style w:type="character" w:customStyle="1" w:styleId="DipnotMetniChar">
    <w:name w:val="Dipnot Metni Char"/>
    <w:basedOn w:val="VarsaylanParagrafYazTipi"/>
    <w:link w:val="DipnotMetni"/>
    <w:uiPriority w:val="99"/>
    <w:rsid w:val="00EF66FA"/>
  </w:style>
  <w:style w:type="character" w:styleId="DipnotBavurusu">
    <w:name w:val="footnote reference"/>
    <w:basedOn w:val="VarsaylanParagrafYazTipi"/>
    <w:uiPriority w:val="99"/>
    <w:unhideWhenUsed/>
    <w:rsid w:val="00EF66FA"/>
    <w:rPr>
      <w:vertAlign w:val="superscript"/>
    </w:rPr>
  </w:style>
  <w:style w:type="character" w:styleId="Kpr">
    <w:name w:val="Hyperlink"/>
    <w:basedOn w:val="VarsaylanParagrafYazTipi"/>
    <w:uiPriority w:val="99"/>
    <w:unhideWhenUsed/>
    <w:rsid w:val="00EF66FA"/>
    <w:rPr>
      <w:color w:val="0563C1" w:themeColor="hyperlink"/>
      <w:u w:val="single"/>
    </w:rPr>
  </w:style>
  <w:style w:type="character" w:styleId="zlenenKpr">
    <w:name w:val="FollowedHyperlink"/>
    <w:basedOn w:val="VarsaylanParagrafYazTipi"/>
    <w:uiPriority w:val="99"/>
    <w:semiHidden/>
    <w:unhideWhenUsed/>
    <w:rsid w:val="00915632"/>
    <w:rPr>
      <w:color w:val="954F72" w:themeColor="followedHyperlink"/>
      <w:u w:val="single"/>
    </w:rPr>
  </w:style>
  <w:style w:type="paragraph" w:styleId="ListeParagraf">
    <w:name w:val="List Paragraph"/>
    <w:basedOn w:val="Normal"/>
    <w:uiPriority w:val="34"/>
    <w:qFormat/>
    <w:rsid w:val="00283900"/>
    <w:pPr>
      <w:ind w:left="720"/>
      <w:contextualSpacing/>
    </w:pPr>
  </w:style>
  <w:style w:type="paragraph" w:styleId="BelgeBalantlar">
    <w:name w:val="Document Map"/>
    <w:basedOn w:val="Normal"/>
    <w:link w:val="BelgeBalantlarChar"/>
    <w:uiPriority w:val="99"/>
    <w:semiHidden/>
    <w:unhideWhenUsed/>
    <w:rsid w:val="00D60ED7"/>
    <w:rPr>
      <w:rFonts w:ascii="Times New Roman" w:hAnsi="Times New Roman" w:cs="Times New Roman"/>
    </w:rPr>
  </w:style>
  <w:style w:type="character" w:customStyle="1" w:styleId="BelgeBalantlarChar">
    <w:name w:val="Belge Bağlantıları Char"/>
    <w:basedOn w:val="VarsaylanParagrafYazTipi"/>
    <w:link w:val="BelgeBalantlar"/>
    <w:uiPriority w:val="99"/>
    <w:semiHidden/>
    <w:rsid w:val="00D60ED7"/>
    <w:rPr>
      <w:rFonts w:ascii="Times New Roman" w:hAnsi="Times New Roman" w:cs="Times New Roman"/>
    </w:rPr>
  </w:style>
  <w:style w:type="paragraph" w:styleId="stbilgi">
    <w:name w:val="header"/>
    <w:basedOn w:val="Normal"/>
    <w:link w:val="stbilgiChar"/>
    <w:uiPriority w:val="99"/>
    <w:unhideWhenUsed/>
    <w:rsid w:val="006000C9"/>
    <w:pPr>
      <w:tabs>
        <w:tab w:val="center" w:pos="4536"/>
        <w:tab w:val="right" w:pos="9072"/>
      </w:tabs>
    </w:pPr>
  </w:style>
  <w:style w:type="character" w:customStyle="1" w:styleId="stbilgiChar">
    <w:name w:val="Üstbilgi Char"/>
    <w:basedOn w:val="VarsaylanParagrafYazTipi"/>
    <w:link w:val="stbilgi"/>
    <w:uiPriority w:val="99"/>
    <w:rsid w:val="006000C9"/>
  </w:style>
  <w:style w:type="paragraph" w:styleId="Altbilgi">
    <w:name w:val="footer"/>
    <w:basedOn w:val="Normal"/>
    <w:link w:val="AltbilgiChar"/>
    <w:uiPriority w:val="99"/>
    <w:unhideWhenUsed/>
    <w:rsid w:val="006000C9"/>
    <w:pPr>
      <w:tabs>
        <w:tab w:val="center" w:pos="4536"/>
        <w:tab w:val="right" w:pos="9072"/>
      </w:tabs>
    </w:pPr>
  </w:style>
  <w:style w:type="character" w:customStyle="1" w:styleId="AltbilgiChar">
    <w:name w:val="Altbilgi Char"/>
    <w:basedOn w:val="VarsaylanParagrafYazTipi"/>
    <w:link w:val="Altbilgi"/>
    <w:uiPriority w:val="99"/>
    <w:rsid w:val="006000C9"/>
  </w:style>
  <w:style w:type="character" w:styleId="AklamaBavurusu">
    <w:name w:val="annotation reference"/>
    <w:basedOn w:val="VarsaylanParagrafYazTipi"/>
    <w:uiPriority w:val="99"/>
    <w:semiHidden/>
    <w:unhideWhenUsed/>
    <w:rsid w:val="003F2CB6"/>
    <w:rPr>
      <w:sz w:val="16"/>
      <w:szCs w:val="16"/>
    </w:rPr>
  </w:style>
  <w:style w:type="paragraph" w:styleId="AklamaMetni">
    <w:name w:val="annotation text"/>
    <w:basedOn w:val="Normal"/>
    <w:link w:val="AklamaMetniChar"/>
    <w:uiPriority w:val="99"/>
    <w:semiHidden/>
    <w:unhideWhenUsed/>
    <w:rsid w:val="003F2CB6"/>
    <w:rPr>
      <w:sz w:val="20"/>
      <w:szCs w:val="20"/>
    </w:rPr>
  </w:style>
  <w:style w:type="character" w:customStyle="1" w:styleId="AklamaMetniChar">
    <w:name w:val="Açıklama Metni Char"/>
    <w:basedOn w:val="VarsaylanParagrafYazTipi"/>
    <w:link w:val="AklamaMetni"/>
    <w:uiPriority w:val="99"/>
    <w:semiHidden/>
    <w:rsid w:val="003F2CB6"/>
    <w:rPr>
      <w:sz w:val="20"/>
      <w:szCs w:val="20"/>
    </w:rPr>
  </w:style>
  <w:style w:type="paragraph" w:styleId="AklamaKonusu">
    <w:name w:val="annotation subject"/>
    <w:basedOn w:val="AklamaMetni"/>
    <w:next w:val="AklamaMetni"/>
    <w:link w:val="AklamaKonusuChar"/>
    <w:uiPriority w:val="99"/>
    <w:semiHidden/>
    <w:unhideWhenUsed/>
    <w:rsid w:val="003F2CB6"/>
    <w:rPr>
      <w:b/>
      <w:bCs/>
    </w:rPr>
  </w:style>
  <w:style w:type="character" w:customStyle="1" w:styleId="AklamaKonusuChar">
    <w:name w:val="Açıklama Konusu Char"/>
    <w:basedOn w:val="AklamaMetniChar"/>
    <w:link w:val="AklamaKonusu"/>
    <w:uiPriority w:val="99"/>
    <w:semiHidden/>
    <w:rsid w:val="003F2CB6"/>
    <w:rPr>
      <w:b/>
      <w:bCs/>
      <w:sz w:val="20"/>
      <w:szCs w:val="20"/>
    </w:rPr>
  </w:style>
  <w:style w:type="paragraph" w:styleId="Dzeltme">
    <w:name w:val="Revision"/>
    <w:hidden/>
    <w:uiPriority w:val="99"/>
    <w:semiHidden/>
    <w:rsid w:val="00B33510"/>
  </w:style>
  <w:style w:type="character" w:customStyle="1" w:styleId="sfbbfee58">
    <w:name w:val="sfbbfee58"/>
    <w:basedOn w:val="VarsaylanParagrafYazTipi"/>
    <w:rsid w:val="00167A42"/>
  </w:style>
  <w:style w:type="character" w:customStyle="1" w:styleId="s1a844bc0">
    <w:name w:val="s1a844bc0"/>
    <w:basedOn w:val="VarsaylanParagrafYazTipi"/>
    <w:rsid w:val="00167A42"/>
  </w:style>
  <w:style w:type="paragraph" w:styleId="BalonMetni">
    <w:name w:val="Balloon Text"/>
    <w:basedOn w:val="Normal"/>
    <w:link w:val="BalonMetniChar"/>
    <w:uiPriority w:val="99"/>
    <w:semiHidden/>
    <w:unhideWhenUsed/>
    <w:rsid w:val="00BC340C"/>
    <w:rPr>
      <w:rFonts w:ascii="Tahoma" w:hAnsi="Tahoma" w:cs="Tahoma"/>
      <w:sz w:val="16"/>
      <w:szCs w:val="16"/>
    </w:rPr>
  </w:style>
  <w:style w:type="character" w:customStyle="1" w:styleId="BalonMetniChar">
    <w:name w:val="Balon Metni Char"/>
    <w:basedOn w:val="VarsaylanParagrafYazTipi"/>
    <w:link w:val="BalonMetni"/>
    <w:uiPriority w:val="99"/>
    <w:semiHidden/>
    <w:rsid w:val="00BC3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52607">
      <w:bodyDiv w:val="1"/>
      <w:marLeft w:val="0"/>
      <w:marRight w:val="0"/>
      <w:marTop w:val="0"/>
      <w:marBottom w:val="0"/>
      <w:divBdr>
        <w:top w:val="none" w:sz="0" w:space="0" w:color="auto"/>
        <w:left w:val="none" w:sz="0" w:space="0" w:color="auto"/>
        <w:bottom w:val="none" w:sz="0" w:space="0" w:color="auto"/>
        <w:right w:val="none" w:sz="0" w:space="0" w:color="auto"/>
      </w:divBdr>
    </w:div>
    <w:div w:id="1438983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GI-Execution@coe.int" TargetMode="External"/><Relationship Id="rId2" Type="http://schemas.openxmlformats.org/officeDocument/2006/relationships/customXml" Target="../customXml/item2.xml"/><Relationship Id="R307a250c5cfa4e4e"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ozitifyasam.org/wp-content/uploads/Kitaplar/AIDS,%20%C4%B0nsan%20Haklar%C4%B1%20ve%20Yasalar.pdf" TargetMode="External"/><Relationship Id="rId13" Type="http://schemas.openxmlformats.org/officeDocument/2006/relationships/hyperlink" Target="https://bilirkisilik.adalet.gov.tr/Home/SayfaDetay/bilirkisilik-yapmaktan-yasaklanma22012021035202" TargetMode="External"/><Relationship Id="rId3" Type="http://schemas.openxmlformats.org/officeDocument/2006/relationships/hyperlink" Target="https://www.ttb.org.tr/kutuphane/sehirhastkitapSML.pdf" TargetMode="External"/><Relationship Id="rId7" Type="http://schemas.openxmlformats.org/officeDocument/2006/relationships/hyperlink" Target="https://pozitifyasam.org/wp-content/uploads/Raporlar/Pozitif%20Ya%C5%9Fam%20Derne%C4%9Fi-3%20Ayl%C4%B1k%20Rapor%206.pdf" TargetMode="External"/><Relationship Id="rId12" Type="http://schemas.openxmlformats.org/officeDocument/2006/relationships/hyperlink" Target="https://bilirkisilik.adalet.gov.tr/Home/SayfaDetay/bilirkisilik-sicilinden-ve-listesinden-cikarilma15012021024613" TargetMode="External"/><Relationship Id="rId2" Type="http://schemas.openxmlformats.org/officeDocument/2006/relationships/hyperlink" Target="https://adlisicil.adalet.gov.tr/Resimler/SayfaDokuman/1692021162011adalet_ist-2020.pdf" TargetMode="External"/><Relationship Id="rId16" Type="http://schemas.openxmlformats.org/officeDocument/2006/relationships/hyperlink" Target="https://www.anayasa.gov.tr/tr/baskan/konusmalar/anayasa-mahkemesinin-temel-haklar-alanindaki-kararlarinin-etkili-sekilde-uygulanmasinin-desteklenmesi-projesi-acis-konusmasi/" TargetMode="External"/><Relationship Id="rId1" Type="http://schemas.openxmlformats.org/officeDocument/2006/relationships/hyperlink" Target="https://yasambellekozgurluk.org/" TargetMode="External"/><Relationship Id="rId6" Type="http://schemas.openxmlformats.org/officeDocument/2006/relationships/hyperlink" Target="https://hsgm.saglik.gov.tr/depo/birimler/Bulasici-hastaliklar-db/hastaliklar/HIV-ADS/Tani-Tedavi_Rehberi/HIV_AIDS_Kontrol_Programi.pdf" TargetMode="External"/><Relationship Id="rId11" Type="http://schemas.openxmlformats.org/officeDocument/2006/relationships/hyperlink" Target="https://bilirkisilik.adalet.gov.tr/Home/SayfaDetay/gecici-sureyle-listeden-cikarma15012021024546" TargetMode="External"/><Relationship Id="rId5" Type="http://schemas.openxmlformats.org/officeDocument/2006/relationships/hyperlink" Target="https://www.sbb.gov.tr/wp-content/uploads/2018/10/10_SaglikHizmetlerininEtkinligininArtirilmasiveMaliSurdurulebilirlik.pdf" TargetMode="External"/><Relationship Id="rId15" Type="http://schemas.openxmlformats.org/officeDocument/2006/relationships/hyperlink" Target="https://teftis.saglik.gov.tr/TR-26156/mufettisler.html" TargetMode="External"/><Relationship Id="rId10" Type="http://schemas.openxmlformats.org/officeDocument/2006/relationships/hyperlink" Target="https://bilirkisilik.adalet.gov.tr/Home/SayfaDetay/uyarma15012021024508" TargetMode="External"/><Relationship Id="rId4" Type="http://schemas.openxmlformats.org/officeDocument/2006/relationships/hyperlink" Target="https://data.worldbank.org/indicator/SP.DYN.IMRT.FE.IN" TargetMode="External"/><Relationship Id="rId9" Type="http://schemas.openxmlformats.org/officeDocument/2006/relationships/hyperlink" Target="https://archhealthscires.org/en/examination-of-the-patients-information-levels-about-surgical-informed-consent-16261" TargetMode="External"/><Relationship Id="rId14" Type="http://schemas.openxmlformats.org/officeDocument/2006/relationships/hyperlink" Target="https://adlisicil.adalet.gov.tr/Resimler/SayfaDokuman/1692021162011adalet_ist-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A11E3E3A4354FA938446845BBF733" ma:contentTypeVersion="13" ma:contentTypeDescription="Crée un document." ma:contentTypeScope="" ma:versionID="5189138f99ba3bc7aa714a02e30d5f1d">
  <xsd:schema xmlns:xsd="http://www.w3.org/2001/XMLSchema" xmlns:xs="http://www.w3.org/2001/XMLSchema" xmlns:p="http://schemas.microsoft.com/office/2006/metadata/properties" xmlns:ns2="60c11fa4-ff9b-492c-bc5b-65b6c8eeded4" xmlns:ns3="d8159c9e-9fad-49a3-a5ae-2b6725e7a0d2" targetNamespace="http://schemas.microsoft.com/office/2006/metadata/properties" ma:root="true" ma:fieldsID="850d9717b9d63a09a49209c740a52481" ns2:_="" ns3:_="">
    <xsd:import namespace="60c11fa4-ff9b-492c-bc5b-65b6c8eeded4"/>
    <xsd:import namespace="d8159c9e-9fad-49a3-a5ae-2b6725e7a0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11fa4-ff9b-492c-bc5b-65b6c8ee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59c9e-9fad-49a3-a5ae-2b6725e7a0d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D644-47C3-41FF-8639-1395B6E05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11fa4-ff9b-492c-bc5b-65b6c8eeded4"/>
    <ds:schemaRef ds:uri="d8159c9e-9fad-49a3-a5ae-2b6725e7a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E615B-1D81-4B9A-991B-E1E54686DF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66A971-94CA-4345-932A-B148923923D0}">
  <ds:schemaRefs>
    <ds:schemaRef ds:uri="http://schemas.microsoft.com/sharepoint/v3/contenttype/forms"/>
  </ds:schemaRefs>
</ds:datastoreItem>
</file>

<file path=customXml/itemProps4.xml><?xml version="1.0" encoding="utf-8"?>
<ds:datastoreItem xmlns:ds="http://schemas.openxmlformats.org/officeDocument/2006/customXml" ds:itemID="{5CC30467-7296-46D1-B13E-43030000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6262</Words>
  <Characters>35699</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ali_cuvalci@hotmail.com</cp:lastModifiedBy>
  <cp:revision>3</cp:revision>
  <cp:lastPrinted>2021-11-26T07:16:00Z</cp:lastPrinted>
  <dcterms:created xsi:type="dcterms:W3CDTF">2021-11-29T10:15:00Z</dcterms:created>
  <dcterms:modified xsi:type="dcterms:W3CDTF">2021-11-29T10:15:00Z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0x010100179A11E3E3A4354FA938446845BBF733</vt:lpwstr>
  </property>
</Properties>
</file>